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E9C27C0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277A9ABE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08C55F64" w:rsidR="00782711" w:rsidRPr="002A4D55" w:rsidRDefault="00901F47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Nov. </w:t>
            </w:r>
            <w:r w:rsidR="008F3336">
              <w:rPr>
                <w:b/>
                <w:bCs/>
                <w:sz w:val="24"/>
                <w:szCs w:val="24"/>
                <w:u w:val="single"/>
              </w:rPr>
              <w:t>11-</w:t>
            </w:r>
            <w:r w:rsidR="00D54E06">
              <w:rPr>
                <w:b/>
                <w:bCs/>
                <w:sz w:val="24"/>
                <w:szCs w:val="24"/>
                <w:u w:val="single"/>
              </w:rPr>
              <w:t>15</w:t>
            </w:r>
            <w:r w:rsidR="00AB1823" w:rsidRPr="00AB1823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AB1823">
              <w:rPr>
                <w:b/>
                <w:bCs/>
                <w:sz w:val="24"/>
                <w:szCs w:val="24"/>
                <w:u w:val="single"/>
              </w:rPr>
              <w:t>, 2024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27A6EB38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FD20B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93195">
              <w:rPr>
                <w:b/>
                <w:bCs/>
                <w:sz w:val="24"/>
                <w:szCs w:val="24"/>
                <w:u w:val="single"/>
              </w:rPr>
              <w:t>Basic Relationship Skills</w:t>
            </w:r>
          </w:p>
          <w:p w14:paraId="49394207" w14:textId="339E4246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0CBD4AB4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E40E64">
              <w:rPr>
                <w:sz w:val="18"/>
                <w:szCs w:val="18"/>
              </w:rPr>
              <w:t xml:space="preserve">and understand </w:t>
            </w:r>
            <w:r w:rsidR="00FD20BF">
              <w:rPr>
                <w:sz w:val="18"/>
                <w:szCs w:val="18"/>
              </w:rPr>
              <w:t xml:space="preserve">textbook information 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2777F3A5" w:rsidR="00782711" w:rsidRPr="00782711" w:rsidRDefault="002D0158" w:rsidP="008F5551">
            <w:r>
              <w:t xml:space="preserve">Students will learn </w:t>
            </w:r>
            <w:r w:rsidR="007B2218">
              <w:t>about basic relationship skills</w:t>
            </w:r>
          </w:p>
        </w:tc>
      </w:tr>
      <w:tr w:rsidR="54E86E3F" w14:paraId="52A95640" w14:textId="77777777" w:rsidTr="4E9C27C0">
        <w:trPr>
          <w:trHeight w:val="1368"/>
        </w:trPr>
        <w:tc>
          <w:tcPr>
            <w:tcW w:w="2418" w:type="dxa"/>
          </w:tcPr>
          <w:p w14:paraId="4DF67C35" w14:textId="2BBF63B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10CC7F9A" w:rsidR="00C97A68" w:rsidRDefault="00C97A68" w:rsidP="008F5551"/>
        </w:tc>
        <w:tc>
          <w:tcPr>
            <w:tcW w:w="7256" w:type="dxa"/>
            <w:gridSpan w:val="2"/>
          </w:tcPr>
          <w:p w14:paraId="4865BDB0" w14:textId="4280766D" w:rsidR="54E86E3F" w:rsidRDefault="00717972" w:rsidP="11C1F3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Finish </w:t>
            </w:r>
            <w:r w:rsidR="00D54E06">
              <w:rPr>
                <w:rFonts w:eastAsiaTheme="minorEastAsia"/>
              </w:rPr>
              <w:t>Chapter 4 from Friday and Read Ch. 5</w:t>
            </w:r>
          </w:p>
        </w:tc>
      </w:tr>
      <w:tr w:rsidR="54E86E3F" w14:paraId="712E46BE" w14:textId="77777777" w:rsidTr="4E9C27C0">
        <w:trPr>
          <w:trHeight w:val="1037"/>
        </w:trPr>
        <w:tc>
          <w:tcPr>
            <w:tcW w:w="2418" w:type="dxa"/>
          </w:tcPr>
          <w:p w14:paraId="60F57F93" w14:textId="7FE0C0D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Tuesday</w:t>
            </w:r>
          </w:p>
          <w:p w14:paraId="5C05F87E" w14:textId="7AD30DD6" w:rsidR="00C97A68" w:rsidRDefault="00C97A68" w:rsidP="008F5551"/>
        </w:tc>
        <w:tc>
          <w:tcPr>
            <w:tcW w:w="7256" w:type="dxa"/>
            <w:gridSpan w:val="2"/>
          </w:tcPr>
          <w:p w14:paraId="702F241A" w14:textId="77777777" w:rsidR="54E86E3F" w:rsidRPr="00FB300A" w:rsidRDefault="005204D1" w:rsidP="005204D1">
            <w:pPr>
              <w:rPr>
                <w:rFonts w:eastAsiaTheme="minorEastAsia"/>
                <w:b/>
                <w:bCs/>
                <w:u w:val="single"/>
              </w:rPr>
            </w:pPr>
            <w:r w:rsidRPr="00FB300A">
              <w:rPr>
                <w:rFonts w:eastAsiaTheme="minorEastAsia"/>
                <w:b/>
                <w:bCs/>
                <w:u w:val="single"/>
              </w:rPr>
              <w:t>Lesson 1 Power Up Speak Out / Healthy Relationships</w:t>
            </w:r>
            <w:r w:rsidR="00F07DB9" w:rsidRPr="00FB300A">
              <w:rPr>
                <w:rFonts w:eastAsiaTheme="minorEastAsia"/>
                <w:b/>
                <w:bCs/>
                <w:u w:val="single"/>
              </w:rPr>
              <w:t xml:space="preserve"> </w:t>
            </w:r>
          </w:p>
          <w:p w14:paraId="2E65CE87" w14:textId="77777777" w:rsidR="0041632A" w:rsidRPr="00FB300A" w:rsidRDefault="00217940" w:rsidP="005204D1">
            <w:pPr>
              <w:rPr>
                <w:rFonts w:eastAsiaTheme="minorEastAsia"/>
                <w:b/>
                <w:bCs/>
                <w:i/>
                <w:iCs/>
              </w:rPr>
            </w:pPr>
            <w:r w:rsidRPr="00FB300A">
              <w:rPr>
                <w:rFonts w:eastAsiaTheme="minorEastAsia"/>
                <w:b/>
                <w:bCs/>
                <w:i/>
                <w:iCs/>
              </w:rPr>
              <w:t>Learning Outcomes:</w:t>
            </w:r>
          </w:p>
          <w:p w14:paraId="066E236A" w14:textId="468DCD6A" w:rsidR="00217940" w:rsidRPr="00FB300A" w:rsidRDefault="00217940" w:rsidP="00FB300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FB300A">
              <w:rPr>
                <w:rFonts w:eastAsiaTheme="minorEastAsia"/>
              </w:rPr>
              <w:t>Students will define a relationship as a connection between two or more people.</w:t>
            </w:r>
          </w:p>
          <w:p w14:paraId="21503641" w14:textId="2595E842" w:rsidR="00217940" w:rsidRPr="00FB300A" w:rsidRDefault="00814377" w:rsidP="00FB300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FB300A">
              <w:rPr>
                <w:rFonts w:eastAsiaTheme="minorEastAsia"/>
              </w:rPr>
              <w:t>Students will identify Healthy Relationship Statements</w:t>
            </w:r>
          </w:p>
          <w:p w14:paraId="34E00AB1" w14:textId="77777777" w:rsidR="00814377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my relationships: </w:t>
            </w:r>
          </w:p>
          <w:p w14:paraId="23D04DC9" w14:textId="77777777" w:rsidR="00814377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get to be myself</w:t>
            </w:r>
          </w:p>
          <w:p w14:paraId="3EA57CA8" w14:textId="77777777" w:rsidR="00814377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treat others well.</w:t>
            </w:r>
          </w:p>
          <w:p w14:paraId="7E05187E" w14:textId="77777777" w:rsidR="00814377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can say no.</w:t>
            </w:r>
          </w:p>
          <w:p w14:paraId="6C9C8FB2" w14:textId="7E0C2DFA" w:rsidR="00814377" w:rsidRPr="005204D1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have fun.</w:t>
            </w:r>
          </w:p>
        </w:tc>
      </w:tr>
      <w:tr w:rsidR="54E86E3F" w14:paraId="18188378" w14:textId="77777777" w:rsidTr="4E9C27C0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587C7F77" w:rsidR="00C97A68" w:rsidRDefault="00C97A68" w:rsidP="008F5551"/>
        </w:tc>
        <w:tc>
          <w:tcPr>
            <w:tcW w:w="7256" w:type="dxa"/>
            <w:gridSpan w:val="2"/>
          </w:tcPr>
          <w:p w14:paraId="6ED30FEB" w14:textId="6E5EF43A" w:rsidR="008F5551" w:rsidRPr="000D5CFD" w:rsidRDefault="00FB4CFB" w:rsidP="00FB4CFB">
            <w:pPr>
              <w:rPr>
                <w:rFonts w:eastAsiaTheme="minorEastAsia"/>
                <w:b/>
                <w:bCs/>
                <w:u w:val="single"/>
              </w:rPr>
            </w:pPr>
            <w:r w:rsidRPr="000D5CFD">
              <w:rPr>
                <w:rFonts w:eastAsiaTheme="minorEastAsia"/>
                <w:b/>
                <w:bCs/>
                <w:u w:val="single"/>
              </w:rPr>
              <w:t xml:space="preserve">Lesson </w:t>
            </w:r>
            <w:r w:rsidR="005832D9" w:rsidRPr="000D5CFD">
              <w:rPr>
                <w:rFonts w:eastAsiaTheme="minorEastAsia"/>
                <w:b/>
                <w:bCs/>
                <w:u w:val="single"/>
              </w:rPr>
              <w:t>2</w:t>
            </w:r>
            <w:r w:rsidRPr="000D5CFD">
              <w:rPr>
                <w:rFonts w:eastAsiaTheme="minorEastAsia"/>
                <w:b/>
                <w:bCs/>
                <w:u w:val="single"/>
              </w:rPr>
              <w:t xml:space="preserve"> Power Up Speak Out / </w:t>
            </w:r>
            <w:r w:rsidR="000D5CFD" w:rsidRPr="000D5CFD">
              <w:rPr>
                <w:rFonts w:eastAsiaTheme="minorEastAsia"/>
                <w:b/>
                <w:bCs/>
                <w:u w:val="single"/>
              </w:rPr>
              <w:t>Power in Relationships</w:t>
            </w:r>
          </w:p>
          <w:p w14:paraId="4F3DA063" w14:textId="77777777" w:rsidR="000D5CFD" w:rsidRPr="000D5CFD" w:rsidRDefault="000D5CFD" w:rsidP="00FB4CFB">
            <w:pPr>
              <w:rPr>
                <w:rFonts w:eastAsiaTheme="minorEastAsia"/>
                <w:i/>
                <w:iCs/>
              </w:rPr>
            </w:pPr>
            <w:r w:rsidRPr="000D5CFD">
              <w:rPr>
                <w:rFonts w:eastAsiaTheme="minorEastAsia"/>
                <w:i/>
                <w:iCs/>
              </w:rPr>
              <w:t>Learning Outcomes:</w:t>
            </w:r>
          </w:p>
          <w:p w14:paraId="7CFF99C4" w14:textId="01DB6F52" w:rsidR="000D5CFD" w:rsidRDefault="00B97A9A" w:rsidP="000D5CF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examine the concept of </w:t>
            </w:r>
            <w:r w:rsidR="00AB1823">
              <w:rPr>
                <w:sz w:val="24"/>
                <w:szCs w:val="24"/>
              </w:rPr>
              <w:t>one-sided</w:t>
            </w:r>
            <w:r>
              <w:rPr>
                <w:sz w:val="24"/>
                <w:szCs w:val="24"/>
              </w:rPr>
              <w:t xml:space="preserve"> power and two-sided power in peer relationships.</w:t>
            </w:r>
          </w:p>
          <w:p w14:paraId="7C557B13" w14:textId="77777777" w:rsidR="009C489A" w:rsidRDefault="009C489A" w:rsidP="000D5CF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identify Unhealthy Relationship Statements. </w:t>
            </w:r>
          </w:p>
          <w:p w14:paraId="78669027" w14:textId="21DF22CC" w:rsidR="009C489A" w:rsidRDefault="009C489A" w:rsidP="009C489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get to be myself.</w:t>
            </w:r>
          </w:p>
          <w:p w14:paraId="3B60B487" w14:textId="122EA0E5" w:rsidR="009C489A" w:rsidRDefault="009C489A" w:rsidP="009C489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treat others well.</w:t>
            </w:r>
          </w:p>
          <w:p w14:paraId="58118A2A" w14:textId="77777777" w:rsidR="009C489A" w:rsidRDefault="009C489A" w:rsidP="009C489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can’t say no.</w:t>
            </w:r>
          </w:p>
          <w:p w14:paraId="19CF3EDF" w14:textId="77777777" w:rsidR="009C489A" w:rsidRDefault="009C489A" w:rsidP="009C489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have fun.</w:t>
            </w:r>
          </w:p>
          <w:p w14:paraId="6A0EBA1C" w14:textId="303DB9CC" w:rsidR="009C489A" w:rsidRDefault="00515133" w:rsidP="0051513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identify “Red Flags” in </w:t>
            </w:r>
            <w:r w:rsidR="00656A3A">
              <w:rPr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>.</w:t>
            </w:r>
          </w:p>
          <w:p w14:paraId="051AEAC1" w14:textId="43BAC286" w:rsidR="00656A3A" w:rsidRDefault="00656A3A" w:rsidP="00656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Is there someone feeling uneasy, embarrassed, humiliated, or hurt in the relationship?</w:t>
            </w:r>
          </w:p>
          <w:p w14:paraId="6585C52A" w14:textId="131B5DFB" w:rsidR="00656A3A" w:rsidRPr="00656A3A" w:rsidRDefault="00656A3A" w:rsidP="00656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Is there one-sided power in the relationship.</w:t>
            </w:r>
          </w:p>
          <w:p w14:paraId="3D42B662" w14:textId="01425DA2" w:rsidR="00656A3A" w:rsidRPr="00656A3A" w:rsidRDefault="00656A3A" w:rsidP="00656A3A">
            <w:pPr>
              <w:rPr>
                <w:sz w:val="24"/>
                <w:szCs w:val="24"/>
              </w:rPr>
            </w:pPr>
          </w:p>
        </w:tc>
      </w:tr>
      <w:tr w:rsidR="54E86E3F" w14:paraId="4E8E527B" w14:textId="77777777" w:rsidTr="4E9C27C0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lastRenderedPageBreak/>
              <w:t>Thursday</w:t>
            </w:r>
          </w:p>
          <w:p w14:paraId="1EA805B6" w14:textId="3B32D524" w:rsidR="00C97A68" w:rsidRDefault="00C97A68" w:rsidP="008F5551"/>
        </w:tc>
        <w:tc>
          <w:tcPr>
            <w:tcW w:w="7256" w:type="dxa"/>
            <w:gridSpan w:val="2"/>
          </w:tcPr>
          <w:p w14:paraId="69778E90" w14:textId="4D067097" w:rsidR="00A13D9E" w:rsidRPr="007B2218" w:rsidRDefault="007B2218" w:rsidP="007B221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Continue with Power Up Speak out Curriculum</w:t>
            </w:r>
            <w:r w:rsidR="00310CBA">
              <w:rPr>
                <w:rFonts w:eastAsiaTheme="minorEastAsia"/>
              </w:rPr>
              <w:t>.  Assessment Schedule Today!</w:t>
            </w:r>
          </w:p>
        </w:tc>
      </w:tr>
      <w:tr w:rsidR="54E86E3F" w14:paraId="44E27C71" w14:textId="77777777" w:rsidTr="4E9C27C0">
        <w:trPr>
          <w:trHeight w:val="1046"/>
        </w:trPr>
        <w:tc>
          <w:tcPr>
            <w:tcW w:w="2418" w:type="dxa"/>
          </w:tcPr>
          <w:p w14:paraId="2BC93063" w14:textId="75FB33F0" w:rsidR="22836AAE" w:rsidRPr="004C5165" w:rsidRDefault="22836AAE" w:rsidP="008F5551">
            <w:pPr>
              <w:rPr>
                <w:u w:val="single"/>
              </w:rPr>
            </w:pPr>
            <w:r w:rsidRPr="004C5165">
              <w:rPr>
                <w:u w:val="single"/>
              </w:rPr>
              <w:t>Friday</w:t>
            </w:r>
          </w:p>
          <w:p w14:paraId="3E105B53" w14:textId="2827A8E9" w:rsidR="00C97A68" w:rsidRPr="004C5165" w:rsidRDefault="00C97A68" w:rsidP="008F5551"/>
        </w:tc>
        <w:tc>
          <w:tcPr>
            <w:tcW w:w="7256" w:type="dxa"/>
            <w:gridSpan w:val="2"/>
          </w:tcPr>
          <w:p w14:paraId="095A1882" w14:textId="1341515A" w:rsidR="008C4159" w:rsidRDefault="00717972" w:rsidP="008C4159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Chapter 18 Chapter Review and Assessment Pages </w:t>
            </w:r>
            <w:r w:rsidR="00036B61">
              <w:rPr>
                <w:rFonts w:eastAsiaTheme="minorEastAsia"/>
              </w:rPr>
              <w:t>552-</w:t>
            </w:r>
            <w:r w:rsidR="00310CBA">
              <w:rPr>
                <w:rFonts w:eastAsiaTheme="minorEastAsia"/>
              </w:rPr>
              <w:t>555 ‘</w:t>
            </w:r>
            <w:r w:rsidR="00036B61">
              <w:rPr>
                <w:rFonts w:eastAsiaTheme="minorEastAsia"/>
              </w:rPr>
              <w:t>s 1-</w:t>
            </w:r>
            <w:r w:rsidR="00C30552">
              <w:rPr>
                <w:rFonts w:eastAsiaTheme="minorEastAsia"/>
              </w:rPr>
              <w:t>26, 31-38</w:t>
            </w:r>
          </w:p>
          <w:p w14:paraId="5DA5ABE7" w14:textId="606D9340" w:rsidR="00310CBA" w:rsidRPr="00310CBA" w:rsidRDefault="00310CBA" w:rsidP="00310CB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Assembly Schedule Today!</w:t>
            </w: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35CB6B77" w14:textId="17C1D63C" w:rsidR="2561EEAD" w:rsidRPr="005B63C3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  <w:r w:rsidR="001B4246">
              <w:rPr>
                <w:sz w:val="20"/>
                <w:szCs w:val="20"/>
              </w:rPr>
              <w:t xml:space="preserve">If you wish for your student to NOT participate in this </w:t>
            </w:r>
            <w:r w:rsidR="00B74E6C">
              <w:rPr>
                <w:sz w:val="20"/>
                <w:szCs w:val="20"/>
              </w:rPr>
              <w:t>unit,</w:t>
            </w:r>
            <w:r w:rsidR="001B4246">
              <w:rPr>
                <w:sz w:val="20"/>
                <w:szCs w:val="20"/>
              </w:rPr>
              <w:t xml:space="preserve"> please fill out and return </w:t>
            </w:r>
            <w:r w:rsidR="005B63C3">
              <w:rPr>
                <w:sz w:val="20"/>
                <w:szCs w:val="20"/>
              </w:rPr>
              <w:t xml:space="preserve">the appropriate forms </w:t>
            </w:r>
            <w:r w:rsidR="001B4246">
              <w:rPr>
                <w:sz w:val="20"/>
                <w:szCs w:val="20"/>
              </w:rPr>
              <w:t xml:space="preserve">with your student on </w:t>
            </w:r>
            <w:r w:rsidR="00B74E6C">
              <w:rPr>
                <w:sz w:val="20"/>
                <w:szCs w:val="20"/>
              </w:rPr>
              <w:t>Monday or</w:t>
            </w:r>
            <w:r w:rsidR="005B63C3">
              <w:rPr>
                <w:sz w:val="20"/>
                <w:szCs w:val="20"/>
              </w:rPr>
              <w:t xml:space="preserve"> email them to me by Monday.  </w:t>
            </w:r>
          </w:p>
          <w:p w14:paraId="5668DDD1" w14:textId="5ADBF43B" w:rsidR="005B63C3" w:rsidRPr="00B74E6C" w:rsidRDefault="005B63C3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If you wish you </w:t>
            </w:r>
            <w:r w:rsidR="00141B30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not to participate this week, they will go to the </w:t>
            </w:r>
            <w:r w:rsidR="00141B30">
              <w:rPr>
                <w:sz w:val="20"/>
                <w:szCs w:val="20"/>
              </w:rPr>
              <w:t>library</w:t>
            </w:r>
            <w:r>
              <w:rPr>
                <w:sz w:val="20"/>
                <w:szCs w:val="20"/>
              </w:rPr>
              <w:t xml:space="preserve"> and complete a research paper </w:t>
            </w:r>
            <w:r w:rsidR="00B74E6C">
              <w:rPr>
                <w:sz w:val="20"/>
                <w:szCs w:val="20"/>
              </w:rPr>
              <w:t xml:space="preserve">on a Health topic of their choosing.  </w:t>
            </w:r>
          </w:p>
          <w:p w14:paraId="5A8854CC" w14:textId="77777777" w:rsidR="0089063A" w:rsidRDefault="0089063A" w:rsidP="008906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Relationships Unit Power Up Speak Out Curriculum, </w:t>
            </w:r>
            <w:hyperlink r:id="rId11" w:tgtFrame="_blank" w:history="1">
              <w:r>
                <w:rPr>
                  <w:rStyle w:val="Hyperlink"/>
                  <w:rFonts w:ascii="inherit" w:hAnsi="inherit" w:cs="Calibri"/>
                  <w:bdr w:val="none" w:sz="0" w:space="0" w:color="auto" w:frame="1"/>
                </w:rPr>
                <w:t>https://powerupspeakout.org/</w:t>
              </w:r>
            </w:hyperlink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 </w:t>
            </w:r>
          </w:p>
          <w:p w14:paraId="53DE43D4" w14:textId="77777777" w:rsidR="0089063A" w:rsidRPr="00D9131B" w:rsidRDefault="0089063A" w:rsidP="008906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9131B">
              <w:rPr>
                <w:rFonts w:ascii="inherit" w:hAnsi="inherit" w:cs="Calibri"/>
                <w:color w:val="000000"/>
                <w:highlight w:val="yellow"/>
                <w:bdr w:val="none" w:sz="0" w:space="0" w:color="auto" w:frame="1"/>
              </w:rPr>
              <w:t>District </w:t>
            </w:r>
            <w:r w:rsidRPr="00D9131B">
              <w:rPr>
                <w:rStyle w:val="markbtdah03nv"/>
                <w:rFonts w:ascii="inherit" w:hAnsi="inherit" w:cs="Calibri"/>
                <w:color w:val="000000"/>
                <w:highlight w:val="yellow"/>
                <w:bdr w:val="none" w:sz="0" w:space="0" w:color="auto" w:frame="1"/>
              </w:rPr>
              <w:t>Health</w:t>
            </w:r>
            <w:r w:rsidRPr="00D9131B">
              <w:rPr>
                <w:rFonts w:ascii="inherit" w:hAnsi="inherit" w:cs="Calibri"/>
                <w:color w:val="000000"/>
                <w:highlight w:val="yellow"/>
                <w:bdr w:val="none" w:sz="0" w:space="0" w:color="auto" w:frame="1"/>
              </w:rPr>
              <w:t> Enhancement and Opt-Out Forms: </w:t>
            </w:r>
          </w:p>
          <w:p w14:paraId="10DCEC44" w14:textId="77777777" w:rsidR="0089063A" w:rsidRDefault="0089063A" w:rsidP="008906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tgtFrame="_blank" w:history="1">
              <w:r w:rsidRPr="00D9131B">
                <w:rPr>
                  <w:rStyle w:val="Hyperlink"/>
                  <w:rFonts w:ascii="inherit" w:hAnsi="inherit" w:cs="Calibri"/>
                  <w:highlight w:val="yellow"/>
                  <w:bdr w:val="none" w:sz="0" w:space="0" w:color="auto" w:frame="1"/>
                </w:rPr>
                <w:t>https://helenaschools.org/departments/curriculum-and-instruction/</w:t>
              </w:r>
              <w:r w:rsidRPr="00D9131B">
                <w:rPr>
                  <w:rStyle w:val="markbtdah03nv"/>
                  <w:rFonts w:ascii="inherit" w:hAnsi="inherit" w:cs="Calibri"/>
                  <w:color w:val="0000FF"/>
                  <w:highlight w:val="yellow"/>
                  <w:u w:val="single"/>
                  <w:bdr w:val="none" w:sz="0" w:space="0" w:color="auto" w:frame="1"/>
                </w:rPr>
                <w:t>health</w:t>
              </w:r>
              <w:r w:rsidRPr="00D9131B">
                <w:rPr>
                  <w:rStyle w:val="Hyperlink"/>
                  <w:rFonts w:ascii="inherit" w:hAnsi="inherit" w:cs="Calibri"/>
                  <w:highlight w:val="yellow"/>
                  <w:bdr w:val="none" w:sz="0" w:space="0" w:color="auto" w:frame="1"/>
                </w:rPr>
                <w:t>-enhancement/</w:t>
              </w:r>
            </w:hyperlink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 </w:t>
            </w:r>
          </w:p>
          <w:p w14:paraId="1601CA3C" w14:textId="32CF5126" w:rsidR="00B74E6C" w:rsidRDefault="00B74E6C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2C75" w14:textId="77777777" w:rsidR="001B2CCA" w:rsidRDefault="001B2CCA">
      <w:pPr>
        <w:spacing w:after="0" w:line="240" w:lineRule="auto"/>
      </w:pPr>
      <w:r>
        <w:separator/>
      </w:r>
    </w:p>
  </w:endnote>
  <w:endnote w:type="continuationSeparator" w:id="0">
    <w:p w14:paraId="6A662E16" w14:textId="77777777" w:rsidR="001B2CCA" w:rsidRDefault="001B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C5B45" w14:textId="77777777" w:rsidR="001B2CCA" w:rsidRDefault="001B2CCA">
      <w:pPr>
        <w:spacing w:after="0" w:line="240" w:lineRule="auto"/>
      </w:pPr>
      <w:r>
        <w:separator/>
      </w:r>
    </w:p>
  </w:footnote>
  <w:footnote w:type="continuationSeparator" w:id="0">
    <w:p w14:paraId="28132B22" w14:textId="77777777" w:rsidR="001B2CCA" w:rsidRDefault="001B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CB9"/>
    <w:multiLevelType w:val="hybridMultilevel"/>
    <w:tmpl w:val="05E0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9BE"/>
    <w:multiLevelType w:val="hybridMultilevel"/>
    <w:tmpl w:val="1F18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44688"/>
    <w:multiLevelType w:val="hybridMultilevel"/>
    <w:tmpl w:val="4CD84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7B75"/>
    <w:multiLevelType w:val="hybridMultilevel"/>
    <w:tmpl w:val="116A6696"/>
    <w:lvl w:ilvl="0" w:tplc="88F804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1"/>
  </w:num>
  <w:num w:numId="2" w16cid:durableId="1390953516">
    <w:abstractNumId w:val="7"/>
  </w:num>
  <w:num w:numId="3" w16cid:durableId="1840652718">
    <w:abstractNumId w:val="6"/>
  </w:num>
  <w:num w:numId="4" w16cid:durableId="2129740910">
    <w:abstractNumId w:val="8"/>
  </w:num>
  <w:num w:numId="5" w16cid:durableId="1278372618">
    <w:abstractNumId w:val="2"/>
  </w:num>
  <w:num w:numId="6" w16cid:durableId="1233394929">
    <w:abstractNumId w:val="0"/>
  </w:num>
  <w:num w:numId="7" w16cid:durableId="660306883">
    <w:abstractNumId w:val="5"/>
  </w:num>
  <w:num w:numId="8" w16cid:durableId="389963172">
    <w:abstractNumId w:val="4"/>
  </w:num>
  <w:num w:numId="9" w16cid:durableId="2015300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36B61"/>
    <w:rsid w:val="00090722"/>
    <w:rsid w:val="00093195"/>
    <w:rsid w:val="000D5CFD"/>
    <w:rsid w:val="000F3305"/>
    <w:rsid w:val="001001B5"/>
    <w:rsid w:val="00141B30"/>
    <w:rsid w:val="00172A6F"/>
    <w:rsid w:val="00174DA2"/>
    <w:rsid w:val="00183B80"/>
    <w:rsid w:val="001B2CCA"/>
    <w:rsid w:val="001B4246"/>
    <w:rsid w:val="001C1663"/>
    <w:rsid w:val="002003DC"/>
    <w:rsid w:val="00217940"/>
    <w:rsid w:val="0029084B"/>
    <w:rsid w:val="002A4D55"/>
    <w:rsid w:val="002D0158"/>
    <w:rsid w:val="00305702"/>
    <w:rsid w:val="00310CBA"/>
    <w:rsid w:val="003638F8"/>
    <w:rsid w:val="003A64E6"/>
    <w:rsid w:val="003E0BFB"/>
    <w:rsid w:val="0041632A"/>
    <w:rsid w:val="00420320"/>
    <w:rsid w:val="00424828"/>
    <w:rsid w:val="0043453A"/>
    <w:rsid w:val="00444915"/>
    <w:rsid w:val="004A4D66"/>
    <w:rsid w:val="004B7D7F"/>
    <w:rsid w:val="004C5165"/>
    <w:rsid w:val="004F2CCC"/>
    <w:rsid w:val="00515133"/>
    <w:rsid w:val="005204D1"/>
    <w:rsid w:val="00547698"/>
    <w:rsid w:val="0058249D"/>
    <w:rsid w:val="005832D9"/>
    <w:rsid w:val="005B63C3"/>
    <w:rsid w:val="00614543"/>
    <w:rsid w:val="00641D47"/>
    <w:rsid w:val="00656A3A"/>
    <w:rsid w:val="00717972"/>
    <w:rsid w:val="00722467"/>
    <w:rsid w:val="00782711"/>
    <w:rsid w:val="007B2218"/>
    <w:rsid w:val="00811AFC"/>
    <w:rsid w:val="00814377"/>
    <w:rsid w:val="00843D8A"/>
    <w:rsid w:val="0089063A"/>
    <w:rsid w:val="008C4159"/>
    <w:rsid w:val="008F3336"/>
    <w:rsid w:val="008F5551"/>
    <w:rsid w:val="00901F47"/>
    <w:rsid w:val="00911D28"/>
    <w:rsid w:val="009834E7"/>
    <w:rsid w:val="009B1836"/>
    <w:rsid w:val="009C38D6"/>
    <w:rsid w:val="009C489A"/>
    <w:rsid w:val="009F0B55"/>
    <w:rsid w:val="00A13D9E"/>
    <w:rsid w:val="00A27504"/>
    <w:rsid w:val="00AA1B29"/>
    <w:rsid w:val="00AB1823"/>
    <w:rsid w:val="00AC5EA7"/>
    <w:rsid w:val="00B74E6C"/>
    <w:rsid w:val="00B97A9A"/>
    <w:rsid w:val="00BD6757"/>
    <w:rsid w:val="00C30552"/>
    <w:rsid w:val="00C43F16"/>
    <w:rsid w:val="00C97A68"/>
    <w:rsid w:val="00CA2C7C"/>
    <w:rsid w:val="00CD7B62"/>
    <w:rsid w:val="00D54E06"/>
    <w:rsid w:val="00D9131B"/>
    <w:rsid w:val="00DC6C1F"/>
    <w:rsid w:val="00DD0608"/>
    <w:rsid w:val="00E40E64"/>
    <w:rsid w:val="00E56990"/>
    <w:rsid w:val="00E6234A"/>
    <w:rsid w:val="00F07DB9"/>
    <w:rsid w:val="00FB300A"/>
    <w:rsid w:val="00FB4CFB"/>
    <w:rsid w:val="00FD20BF"/>
    <w:rsid w:val="00FF614C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btdah03nv">
    <w:name w:val="markbtdah03nv"/>
    <w:basedOn w:val="DefaultParagraphFont"/>
    <w:rsid w:val="0089063A"/>
  </w:style>
  <w:style w:type="character" w:styleId="Hyperlink">
    <w:name w:val="Hyperlink"/>
    <w:basedOn w:val="DefaultParagraphFont"/>
    <w:uiPriority w:val="99"/>
    <w:semiHidden/>
    <w:unhideWhenUsed/>
    <w:rsid w:val="00890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lenaschools.org/departments/curriculum-and-instruction/health-enhanceme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werupspeakout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customXml/itemProps3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4</cp:revision>
  <cp:lastPrinted>2024-11-11T17:52:00Z</cp:lastPrinted>
  <dcterms:created xsi:type="dcterms:W3CDTF">2024-11-11T17:51:00Z</dcterms:created>
  <dcterms:modified xsi:type="dcterms:W3CDTF">2024-11-11T17:53:00Z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