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5399"/>
      </w:tblGrid>
      <w:tr w:rsidR="005D541D" w14:paraId="7D69CEE6" w14:textId="77777777" w:rsidTr="4FF85E60">
        <w:trPr>
          <w:trHeight w:val="825"/>
        </w:trPr>
        <w:tc>
          <w:tcPr>
            <w:tcW w:w="10916" w:type="dxa"/>
            <w:gridSpan w:val="2"/>
            <w:shd w:val="clear" w:color="auto" w:fill="000080"/>
          </w:tcPr>
          <w:p w14:paraId="511E103B" w14:textId="22243E1E" w:rsidR="005D541D" w:rsidRPr="004F57F7" w:rsidRDefault="005D541D">
            <w:pPr>
              <w:rPr>
                <w:rFonts w:ascii="Arial Narrow" w:hAnsi="Arial Narrow"/>
                <w:b/>
                <w:sz w:val="28"/>
                <w:szCs w:val="28"/>
              </w:rPr>
            </w:pPr>
            <w:r w:rsidRPr="004F57F7">
              <w:rPr>
                <w:rFonts w:ascii="Arial Narrow" w:hAnsi="Arial Narrow"/>
                <w:b/>
                <w:color w:val="FFFFFF"/>
                <w:sz w:val="28"/>
                <w:szCs w:val="28"/>
              </w:rPr>
              <w:t xml:space="preserve">Approved for use in </w:t>
            </w:r>
            <w:r w:rsidR="00AD6D37">
              <w:rPr>
                <w:rFonts w:ascii="Arial Narrow" w:hAnsi="Arial Narrow"/>
                <w:b/>
                <w:color w:val="FFFFFF"/>
                <w:sz w:val="28"/>
                <w:szCs w:val="28"/>
              </w:rPr>
              <w:t>grade 10.</w:t>
            </w:r>
          </w:p>
          <w:p w14:paraId="0961864C" w14:textId="77777777" w:rsidR="005D541D" w:rsidRPr="004F57F7" w:rsidRDefault="005D541D">
            <w:pPr>
              <w:rPr>
                <w:rFonts w:ascii="Arial Narrow" w:hAnsi="Arial Narrow"/>
                <w:b/>
                <w:color w:val="FFFFFF"/>
              </w:rPr>
            </w:pPr>
          </w:p>
        </w:tc>
      </w:tr>
      <w:tr w:rsidR="005D541D" w14:paraId="539CBA91" w14:textId="77777777" w:rsidTr="4FF85E60">
        <w:trPr>
          <w:trHeight w:val="3185"/>
        </w:trPr>
        <w:tc>
          <w:tcPr>
            <w:tcW w:w="5458" w:type="dxa"/>
            <w:shd w:val="clear" w:color="auto" w:fill="auto"/>
          </w:tcPr>
          <w:p w14:paraId="5F333DB9" w14:textId="77777777" w:rsidR="005D541D" w:rsidRPr="005103AF" w:rsidRDefault="005D541D" w:rsidP="005D541D">
            <w:pPr>
              <w:rPr>
                <w:rFonts w:ascii="Arial Narrow" w:hAnsi="Arial Narrow"/>
                <w:bCs/>
                <w:sz w:val="28"/>
                <w:szCs w:val="28"/>
              </w:rPr>
            </w:pPr>
            <w:r w:rsidRPr="005103AF">
              <w:rPr>
                <w:rFonts w:ascii="Arial Narrow" w:hAnsi="Arial Narrow"/>
                <w:bCs/>
                <w:sz w:val="28"/>
                <w:szCs w:val="28"/>
              </w:rPr>
              <w:t>Summary of the Work:</w:t>
            </w:r>
          </w:p>
          <w:p w14:paraId="4BD3B8E6" w14:textId="77777777" w:rsidR="005D541D" w:rsidRPr="005103AF" w:rsidRDefault="005D541D" w:rsidP="005D541D">
            <w:pPr>
              <w:rPr>
                <w:rFonts w:ascii="Arial Narrow" w:hAnsi="Arial Narrow"/>
                <w:bCs/>
                <w:sz w:val="20"/>
                <w:szCs w:val="20"/>
              </w:rPr>
            </w:pPr>
          </w:p>
          <w:p w14:paraId="36D2F32F" w14:textId="4CC4E96F" w:rsidR="00CB4859" w:rsidRPr="00CB4859" w:rsidRDefault="00CB4859" w:rsidP="00CB4859">
            <w:pPr>
              <w:pStyle w:val="NormalWeb"/>
              <w:spacing w:before="0" w:beforeAutospacing="0" w:after="0" w:afterAutospacing="0"/>
              <w:rPr>
                <w:rFonts w:ascii="Cambria" w:hAnsi="Cambria" w:cs="Calibri"/>
                <w:color w:val="000080"/>
                <w:sz w:val="20"/>
                <w:szCs w:val="20"/>
                <w:bdr w:val="none" w:sz="0" w:space="0" w:color="auto" w:frame="1"/>
                <w:shd w:val="clear" w:color="auto" w:fill="FFFFFF"/>
              </w:rPr>
            </w:pPr>
            <w:r w:rsidRPr="00CB4859">
              <w:rPr>
                <w:rFonts w:ascii="Georgia" w:hAnsi="Georgia" w:cs="Calibri"/>
                <w:color w:val="1A1A1A"/>
                <w:sz w:val="20"/>
                <w:szCs w:val="20"/>
                <w:bdr w:val="none" w:sz="0" w:space="0" w:color="auto" w:frame="1"/>
                <w:shd w:val="clear" w:color="auto" w:fill="FFFFFF"/>
              </w:rPr>
              <w:t>The novel chronicles the life of Okonkwo, the leader of an </w:t>
            </w:r>
            <w:hyperlink r:id="rId7" w:history="1">
              <w:r w:rsidRPr="00CB4859">
                <w:rPr>
                  <w:rStyle w:val="Hyperlink"/>
                  <w:rFonts w:ascii="Georgia" w:hAnsi="Georgia" w:cs="Calibri"/>
                  <w:color w:val="1A1A1A"/>
                  <w:sz w:val="20"/>
                  <w:szCs w:val="20"/>
                  <w:u w:val="none"/>
                  <w:bdr w:val="none" w:sz="0" w:space="0" w:color="auto" w:frame="1"/>
                  <w:shd w:val="clear" w:color="auto" w:fill="FFFFFF"/>
                </w:rPr>
                <w:t>Igbo</w:t>
              </w:r>
            </w:hyperlink>
            <w:r w:rsidRPr="00CB4859">
              <w:rPr>
                <w:rFonts w:ascii="Georgia" w:hAnsi="Georgia" w:cs="Calibri"/>
                <w:color w:val="1A1A1A"/>
                <w:sz w:val="20"/>
                <w:szCs w:val="20"/>
                <w:bdr w:val="none" w:sz="0" w:space="0" w:color="auto" w:frame="1"/>
                <w:shd w:val="clear" w:color="auto" w:fill="FFFFFF"/>
              </w:rPr>
              <w:t> </w:t>
            </w:r>
            <w:hyperlink r:id="rId8" w:history="1">
              <w:r w:rsidRPr="00CB4859">
                <w:rPr>
                  <w:rStyle w:val="Hyperlink"/>
                  <w:rFonts w:ascii="Georgia" w:hAnsi="Georgia" w:cs="Calibri"/>
                  <w:color w:val="1A1A1A"/>
                  <w:sz w:val="20"/>
                  <w:szCs w:val="20"/>
                  <w:u w:val="none"/>
                  <w:bdr w:val="none" w:sz="0" w:space="0" w:color="auto" w:frame="1"/>
                  <w:shd w:val="clear" w:color="auto" w:fill="FFFFFF"/>
                </w:rPr>
                <w:t>community</w:t>
              </w:r>
            </w:hyperlink>
            <w:r w:rsidRPr="00CB4859">
              <w:rPr>
                <w:rFonts w:ascii="Georgia" w:hAnsi="Georgia" w:cs="Calibri"/>
                <w:color w:val="1A1A1A"/>
                <w:sz w:val="20"/>
                <w:szCs w:val="20"/>
                <w:bdr w:val="none" w:sz="0" w:space="0" w:color="auto" w:frame="1"/>
                <w:shd w:val="clear" w:color="auto" w:fill="FFFFFF"/>
              </w:rPr>
              <w:t>, from the events leading up to his banishment from the community for accidentally killing a clansman, through the seven years of his exile, to his return, and it addresses a particular problem of emergent Africa—the intrusion in the 1890s of white </w:t>
            </w:r>
            <w:hyperlink r:id="rId9" w:history="1">
              <w:r w:rsidRPr="00CB4859">
                <w:rPr>
                  <w:rStyle w:val="Hyperlink"/>
                  <w:rFonts w:ascii="Georgia" w:hAnsi="Georgia" w:cs="Calibri"/>
                  <w:color w:val="1A1A1A"/>
                  <w:sz w:val="20"/>
                  <w:szCs w:val="20"/>
                  <w:u w:val="none"/>
                  <w:bdr w:val="none" w:sz="0" w:space="0" w:color="auto" w:frame="1"/>
                  <w:shd w:val="clear" w:color="auto" w:fill="FFFFFF"/>
                </w:rPr>
                <w:t>missionaries</w:t>
              </w:r>
            </w:hyperlink>
            <w:r w:rsidRPr="00CB4859">
              <w:rPr>
                <w:rFonts w:ascii="Georgia" w:hAnsi="Georgia" w:cs="Calibri"/>
                <w:color w:val="1A1A1A"/>
                <w:sz w:val="20"/>
                <w:szCs w:val="20"/>
                <w:bdr w:val="none" w:sz="0" w:space="0" w:color="auto" w:frame="1"/>
                <w:shd w:val="clear" w:color="auto" w:fill="FFFFFF"/>
              </w:rPr>
              <w:t> and colonial government into </w:t>
            </w:r>
            <w:hyperlink r:id="rId10" w:history="1">
              <w:r w:rsidRPr="00CB4859">
                <w:rPr>
                  <w:rStyle w:val="Hyperlink"/>
                  <w:rFonts w:ascii="Georgia" w:hAnsi="Georgia" w:cs="Calibri"/>
                  <w:color w:val="1A1A1A"/>
                  <w:sz w:val="20"/>
                  <w:szCs w:val="20"/>
                  <w:u w:val="none"/>
                  <w:bdr w:val="none" w:sz="0" w:space="0" w:color="auto" w:frame="1"/>
                  <w:shd w:val="clear" w:color="auto" w:fill="FFFFFF"/>
                </w:rPr>
                <w:t>tribal</w:t>
              </w:r>
            </w:hyperlink>
            <w:r w:rsidRPr="00CB4859">
              <w:rPr>
                <w:rFonts w:ascii="Georgia" w:hAnsi="Georgia" w:cs="Calibri"/>
                <w:color w:val="1A1A1A"/>
                <w:sz w:val="20"/>
                <w:szCs w:val="20"/>
                <w:bdr w:val="none" w:sz="0" w:space="0" w:color="auto" w:frame="1"/>
                <w:shd w:val="clear" w:color="auto" w:fill="FFFFFF"/>
              </w:rPr>
              <w:t> Igbo society. Traditionally structured, and peppered with Igbo proverbs, it describes the simultaneous disintegration of its </w:t>
            </w:r>
            <w:hyperlink r:id="rId11" w:history="1">
              <w:r w:rsidRPr="00CB4859">
                <w:rPr>
                  <w:rStyle w:val="Hyperlink"/>
                  <w:rFonts w:ascii="Georgia" w:hAnsi="Georgia" w:cs="Calibri"/>
                  <w:color w:val="1A1A1A"/>
                  <w:sz w:val="20"/>
                  <w:szCs w:val="20"/>
                  <w:u w:val="none"/>
                  <w:bdr w:val="none" w:sz="0" w:space="0" w:color="auto" w:frame="1"/>
                  <w:shd w:val="clear" w:color="auto" w:fill="FFFFFF"/>
                </w:rPr>
                <w:t>protagonist</w:t>
              </w:r>
            </w:hyperlink>
            <w:r w:rsidRPr="00CB4859">
              <w:rPr>
                <w:rFonts w:ascii="Georgia" w:hAnsi="Georgia" w:cs="Calibri"/>
                <w:color w:val="1A1A1A"/>
                <w:sz w:val="20"/>
                <w:szCs w:val="20"/>
                <w:bdr w:val="none" w:sz="0" w:space="0" w:color="auto" w:frame="1"/>
                <w:shd w:val="clear" w:color="auto" w:fill="FFFFFF"/>
              </w:rPr>
              <w:t> Okonkwo and of his village. The novel was praised for its intelligent and realistic treatment of tribal beliefs and of psychological disintegration coincident with social unraveling.</w:t>
            </w:r>
            <w:r>
              <w:rPr>
                <w:rFonts w:ascii="Georgia" w:hAnsi="Georgia" w:cs="Calibri"/>
                <w:color w:val="1A1A1A"/>
                <w:sz w:val="20"/>
                <w:szCs w:val="20"/>
                <w:bdr w:val="none" w:sz="0" w:space="0" w:color="auto" w:frame="1"/>
                <w:shd w:val="clear" w:color="auto" w:fill="FFFFFF"/>
              </w:rPr>
              <w:t xml:space="preserve">  </w:t>
            </w:r>
            <w:r>
              <w:rPr>
                <w:rFonts w:ascii="Georgia" w:hAnsi="Georgia"/>
                <w:color w:val="1A1A1A"/>
                <w:sz w:val="20"/>
                <w:szCs w:val="20"/>
                <w:shd w:val="clear" w:color="auto" w:fill="FFFFFF"/>
              </w:rPr>
              <w:t>Written with quiet dignity that builds to a climax of tragic force, this book is about the dissolution of an African tribe, its traditions, and values.</w:t>
            </w:r>
          </w:p>
          <w:p w14:paraId="55C81A88" w14:textId="77777777" w:rsidR="00CB4859" w:rsidRDefault="00CB4859" w:rsidP="00CB4859">
            <w:pPr>
              <w:rPr>
                <w:rFonts w:ascii="Cambria" w:hAnsi="Cambria" w:cs="Calibri"/>
                <w:color w:val="000080"/>
                <w:sz w:val="20"/>
                <w:szCs w:val="20"/>
                <w:bdr w:val="none" w:sz="0" w:space="0" w:color="auto" w:frame="1"/>
                <w:shd w:val="clear" w:color="auto" w:fill="FFFFFF"/>
              </w:rPr>
            </w:pPr>
          </w:p>
          <w:p w14:paraId="78AEAB25" w14:textId="77777777" w:rsidR="00CB4859" w:rsidRDefault="00CB4859" w:rsidP="00CB4859">
            <w:pPr>
              <w:pStyle w:val="NormalWeb"/>
              <w:spacing w:before="0" w:beforeAutospacing="0" w:after="0" w:afterAutospacing="0"/>
              <w:rPr>
                <w:rFonts w:ascii="Cambria" w:hAnsi="Cambria" w:cs="Calibri"/>
                <w:color w:val="000080"/>
                <w:sz w:val="20"/>
                <w:szCs w:val="20"/>
                <w:bdr w:val="none" w:sz="0" w:space="0" w:color="auto" w:frame="1"/>
                <w:shd w:val="clear" w:color="auto" w:fill="FFFFFF"/>
              </w:rPr>
            </w:pPr>
            <w:r>
              <w:rPr>
                <w:color w:val="000000"/>
                <w:bdr w:val="none" w:sz="0" w:space="0" w:color="auto" w:frame="1"/>
                <w:shd w:val="clear" w:color="auto" w:fill="FFFFFF"/>
              </w:rPr>
              <w:t>Brittanica.com</w:t>
            </w:r>
          </w:p>
          <w:p w14:paraId="14692F77" w14:textId="28D06CA9" w:rsidR="005D541D" w:rsidRPr="005103AF" w:rsidRDefault="005D541D" w:rsidP="00CB5B53">
            <w:pPr>
              <w:rPr>
                <w:bCs/>
              </w:rPr>
            </w:pPr>
          </w:p>
        </w:tc>
        <w:tc>
          <w:tcPr>
            <w:tcW w:w="5458" w:type="dxa"/>
            <w:shd w:val="clear" w:color="auto" w:fill="auto"/>
          </w:tcPr>
          <w:p w14:paraId="224EAEE4"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 xml:space="preserve">Rationale:  </w:t>
            </w:r>
          </w:p>
          <w:p w14:paraId="3F981F52" w14:textId="77777777" w:rsidR="005D541D" w:rsidRPr="004F57F7" w:rsidRDefault="005D541D" w:rsidP="005D541D">
            <w:pPr>
              <w:rPr>
                <w:rFonts w:ascii="Arial Narrow" w:hAnsi="Arial Narrow"/>
                <w:b/>
                <w:sz w:val="20"/>
                <w:szCs w:val="20"/>
              </w:rPr>
            </w:pPr>
          </w:p>
          <w:p w14:paraId="19CC7477" w14:textId="1559A877" w:rsidR="00442C2B" w:rsidRDefault="00CB4859" w:rsidP="00CB4859">
            <w:r>
              <w:rPr>
                <w:rFonts w:ascii="Georgia" w:hAnsi="Georgia" w:cs="Calibri"/>
                <w:color w:val="000000"/>
                <w:sz w:val="20"/>
                <w:szCs w:val="20"/>
                <w:bdr w:val="none" w:sz="0" w:space="0" w:color="auto" w:frame="1"/>
                <w:shd w:val="clear" w:color="auto" w:fill="FFFFFF"/>
              </w:rPr>
              <w:t xml:space="preserve">This novel is part of the required Springboard sophomore curriculum which prepares students to take future AP English courses.  This novel is known as </w:t>
            </w:r>
            <w:proofErr w:type="gramStart"/>
            <w:r>
              <w:rPr>
                <w:rFonts w:ascii="Georgia" w:hAnsi="Georgia" w:cs="Calibri"/>
                <w:color w:val="000000"/>
                <w:sz w:val="20"/>
                <w:szCs w:val="20"/>
                <w:bdr w:val="none" w:sz="0" w:space="0" w:color="auto" w:frame="1"/>
                <w:shd w:val="clear" w:color="auto" w:fill="FFFFFF"/>
              </w:rPr>
              <w:t>“ the</w:t>
            </w:r>
            <w:proofErr w:type="gramEnd"/>
            <w:r>
              <w:rPr>
                <w:rFonts w:ascii="Georgia" w:hAnsi="Georgia" w:cs="Calibri"/>
                <w:color w:val="000000"/>
                <w:sz w:val="20"/>
                <w:szCs w:val="20"/>
                <w:bdr w:val="none" w:sz="0" w:space="0" w:color="auto" w:frame="1"/>
                <w:shd w:val="clear" w:color="auto" w:fill="FFFFFF"/>
              </w:rPr>
              <w:t xml:space="preserve"> most authentic narrative ever written about life in Nigeria at the turn of the twentieth century. Although the novel was first published in 1958 — two years before Nigeria achieved its independence — thousands of copies are still sold every year in the United States alone. Teachers in high schools, colleges, and graduate schools use the novel as a textbook in many types of classes — from history and social studies to comparative literature and anthropology.  Achebe announced that one of his purposes was to present a complex, dynamic society to a Western audience who perceived African society as primitive, simple, and backward. Unless Africans could tell their side of their story, Achebe believed that the African experience would forever be "</w:t>
            </w:r>
            <w:proofErr w:type="spellStart"/>
            <w:r>
              <w:rPr>
                <w:rFonts w:ascii="Georgia" w:hAnsi="Georgia" w:cs="Calibri"/>
                <w:color w:val="000000"/>
                <w:sz w:val="20"/>
                <w:szCs w:val="20"/>
                <w:bdr w:val="none" w:sz="0" w:space="0" w:color="auto" w:frame="1"/>
                <w:shd w:val="clear" w:color="auto" w:fill="FFFFFF"/>
              </w:rPr>
              <w:t>mistold</w:t>
            </w:r>
            <w:proofErr w:type="spellEnd"/>
            <w:r>
              <w:rPr>
                <w:rFonts w:ascii="Georgia" w:hAnsi="Georgia" w:cs="Calibri"/>
                <w:color w:val="000000"/>
                <w:sz w:val="20"/>
                <w:szCs w:val="20"/>
                <w:bdr w:val="none" w:sz="0" w:space="0" w:color="auto" w:frame="1"/>
                <w:shd w:val="clear" w:color="auto" w:fill="FFFFFF"/>
              </w:rPr>
              <w:t>” (Cliffnotes.com).</w:t>
            </w:r>
          </w:p>
        </w:tc>
      </w:tr>
      <w:tr w:rsidR="005D541D" w14:paraId="067B5788" w14:textId="77777777" w:rsidTr="4FF85E60">
        <w:trPr>
          <w:trHeight w:val="2132"/>
        </w:trPr>
        <w:tc>
          <w:tcPr>
            <w:tcW w:w="5458" w:type="dxa"/>
            <w:tcBorders>
              <w:bottom w:val="single" w:sz="4" w:space="0" w:color="auto"/>
            </w:tcBorders>
            <w:shd w:val="clear" w:color="auto" w:fill="auto"/>
          </w:tcPr>
          <w:p w14:paraId="3EAE3580"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Professional Reviews and/or Critical Essays:</w:t>
            </w:r>
          </w:p>
          <w:p w14:paraId="16C7FDB3" w14:textId="7A3160D1" w:rsidR="005D541D" w:rsidRPr="004F57F7" w:rsidRDefault="00CB4859" w:rsidP="00CB4859">
            <w:pPr>
              <w:rPr>
                <w:rFonts w:ascii="Arial Narrow" w:hAnsi="Arial Narrow"/>
                <w:sz w:val="20"/>
                <w:szCs w:val="20"/>
              </w:rPr>
            </w:pPr>
            <w:r>
              <w:rPr>
                <w:rFonts w:ascii="Georgia" w:hAnsi="Georgia"/>
                <w:color w:val="1A1A1A"/>
                <w:sz w:val="20"/>
                <w:szCs w:val="20"/>
                <w:bdr w:val="none" w:sz="0" w:space="0" w:color="auto" w:frame="1"/>
              </w:rPr>
              <w:t>Written by a Nigerian African trained in missionary schools, this novel tells quietly the story of a brave man, Okonkwo, whose life has absolute validity in terms of his culture, and who exercises his prerogative as a warrior, father, and husband with unflinching single mindedness. But into the complex Nigerian village filters the teachings of strangers, teachings so alien to the tribe, that resistance is impossible. One must distinguish a force to be able to oppose it, and to most, the talk of Christian salvation is no more than the babbling of incoherent children. Still, with his guns and persistence, the white man, amoeba-like, gradually absorbs the native culture and in despair, Okonkwo, unable to withstand the corrosion of what he, alone, understands to be the life force of his people, hangs himself. In the formlessness of the dying culture, it is the missionary who takes note of the event, reminding himself to give Okonkwo's gesture a line or two in his work, </w:t>
            </w:r>
            <w:r>
              <w:rPr>
                <w:rFonts w:ascii="Georgia" w:hAnsi="Georgia"/>
                <w:i/>
                <w:iCs/>
                <w:color w:val="1A1A1A"/>
                <w:sz w:val="20"/>
                <w:szCs w:val="20"/>
                <w:bdr w:val="none" w:sz="0" w:space="0" w:color="auto" w:frame="1"/>
              </w:rPr>
              <w:t>The Pacification of the Primitive Tribes of the Lower Niger</w:t>
            </w:r>
            <w:r>
              <w:rPr>
                <w:rFonts w:ascii="Georgia" w:hAnsi="Georgia"/>
                <w:color w:val="1A1A1A"/>
                <w:sz w:val="20"/>
                <w:szCs w:val="20"/>
                <w:bdr w:val="none" w:sz="0" w:space="0" w:color="auto" w:frame="1"/>
              </w:rPr>
              <w:t>.  </w:t>
            </w:r>
            <w:r>
              <w:rPr>
                <w:rFonts w:ascii="Georgia" w:hAnsi="Georgia"/>
                <w:color w:val="1A1A1A"/>
                <w:sz w:val="20"/>
                <w:szCs w:val="20"/>
                <w:bdr w:val="none" w:sz="0" w:space="0" w:color="auto" w:frame="1"/>
                <w:shd w:val="clear" w:color="auto" w:fill="FFFFFF"/>
              </w:rPr>
              <w:t>This book sings with the terrible silence of dead civilizations in which once there was valor.</w:t>
            </w:r>
          </w:p>
        </w:tc>
        <w:tc>
          <w:tcPr>
            <w:tcW w:w="5458" w:type="dxa"/>
            <w:shd w:val="clear" w:color="auto" w:fill="auto"/>
          </w:tcPr>
          <w:p w14:paraId="115C6FF5" w14:textId="77777777" w:rsidR="005D541D" w:rsidRPr="007D1DC2" w:rsidRDefault="005D541D" w:rsidP="005D541D">
            <w:pPr>
              <w:rPr>
                <w:rFonts w:ascii="Arial Narrow" w:hAnsi="Arial Narrow"/>
                <w:b/>
                <w:sz w:val="22"/>
                <w:szCs w:val="22"/>
              </w:rPr>
            </w:pPr>
            <w:r w:rsidRPr="007D1DC2">
              <w:rPr>
                <w:rFonts w:ascii="Arial Narrow" w:hAnsi="Arial Narrow"/>
                <w:b/>
                <w:sz w:val="22"/>
                <w:szCs w:val="22"/>
              </w:rPr>
              <w:t>Noted Distinction:</w:t>
            </w:r>
          </w:p>
          <w:p w14:paraId="53DC3DFF" w14:textId="77777777" w:rsidR="00CB4859" w:rsidRDefault="005D541D" w:rsidP="00CB4859">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7D1DC2">
              <w:rPr>
                <w:rFonts w:ascii="Arial Narrow" w:hAnsi="Arial Narrow"/>
                <w:sz w:val="22"/>
                <w:szCs w:val="22"/>
                <w:lang w:val="en"/>
              </w:rPr>
              <w:t xml:space="preserve"> </w:t>
            </w:r>
            <w:r w:rsidR="00CB4859">
              <w:rPr>
                <w:rFonts w:ascii="Georgia" w:hAnsi="Georgia" w:cs="Arial"/>
                <w:color w:val="000000"/>
                <w:sz w:val="20"/>
                <w:szCs w:val="20"/>
                <w:bdr w:val="none" w:sz="0" w:space="0" w:color="auto" w:frame="1"/>
              </w:rPr>
              <w:t> </w:t>
            </w:r>
            <w:r w:rsidR="00CB4859">
              <w:rPr>
                <w:rFonts w:ascii="Georgia" w:hAnsi="Georgia" w:cs="Arial"/>
                <w:color w:val="202124"/>
                <w:sz w:val="20"/>
                <w:szCs w:val="20"/>
                <w:bdr w:val="none" w:sz="0" w:space="0" w:color="auto" w:frame="1"/>
                <w:shd w:val="clear" w:color="auto" w:fill="FFFFFF"/>
              </w:rPr>
              <w:t>Margaret Wong Memorial Prize 1959</w:t>
            </w:r>
          </w:p>
          <w:p w14:paraId="43434551" w14:textId="77777777" w:rsidR="00CB4859" w:rsidRDefault="00CB4859" w:rsidP="00CB4859">
            <w:pPr>
              <w:pStyle w:val="NormalWeb"/>
              <w:numPr>
                <w:ilvl w:val="0"/>
                <w:numId w:val="10"/>
              </w:numPr>
              <w:shd w:val="clear" w:color="auto" w:fill="FFFFFF"/>
              <w:spacing w:before="0" w:beforeAutospacing="0" w:after="0" w:afterAutospacing="0"/>
              <w:rPr>
                <w:rFonts w:ascii="Georgia" w:hAnsi="Georgia"/>
                <w:color w:val="202124"/>
                <w:sz w:val="20"/>
                <w:szCs w:val="20"/>
              </w:rPr>
            </w:pPr>
            <w:proofErr w:type="gramStart"/>
            <w:r>
              <w:rPr>
                <w:rFonts w:ascii="Georgia" w:hAnsi="Georgia"/>
                <w:color w:val="333333"/>
                <w:sz w:val="20"/>
                <w:szCs w:val="20"/>
                <w:bdr w:val="none" w:sz="0" w:space="0" w:color="auto" w:frame="1"/>
                <w:shd w:val="clear" w:color="auto" w:fill="FFFFFF"/>
              </w:rPr>
              <w:t>Man</w:t>
            </w:r>
            <w:proofErr w:type="gramEnd"/>
            <w:r>
              <w:rPr>
                <w:rFonts w:ascii="Georgia" w:hAnsi="Georgia"/>
                <w:color w:val="333333"/>
                <w:sz w:val="20"/>
                <w:szCs w:val="20"/>
                <w:bdr w:val="none" w:sz="0" w:space="0" w:color="auto" w:frame="1"/>
                <w:shd w:val="clear" w:color="auto" w:fill="FFFFFF"/>
              </w:rPr>
              <w:t xml:space="preserve"> Booker International Prize for fiction 2007</w:t>
            </w:r>
          </w:p>
          <w:p w14:paraId="06C6FA90" w14:textId="77777777" w:rsidR="00CB4859" w:rsidRDefault="00CB4859" w:rsidP="00CB4859">
            <w:pPr>
              <w:pStyle w:val="NormalWeb"/>
              <w:numPr>
                <w:ilvl w:val="0"/>
                <w:numId w:val="10"/>
              </w:numPr>
              <w:shd w:val="clear" w:color="auto" w:fill="FFFFFF"/>
              <w:spacing w:before="0" w:beforeAutospacing="0" w:after="0" w:afterAutospacing="0"/>
              <w:rPr>
                <w:rFonts w:ascii="Georgia" w:hAnsi="Georgia"/>
                <w:color w:val="000000"/>
                <w:sz w:val="20"/>
                <w:szCs w:val="20"/>
              </w:rPr>
            </w:pPr>
            <w:r>
              <w:rPr>
                <w:rFonts w:ascii="Georgia" w:hAnsi="Georgia"/>
                <w:color w:val="4D5156"/>
                <w:sz w:val="20"/>
                <w:szCs w:val="20"/>
                <w:bdr w:val="none" w:sz="0" w:space="0" w:color="auto" w:frame="1"/>
                <w:shd w:val="clear" w:color="auto" w:fill="FFFFFF"/>
              </w:rPr>
              <w:t>Dayton Literary Peace Prize 2010</w:t>
            </w:r>
          </w:p>
          <w:p w14:paraId="1A871A64" w14:textId="54993A2D" w:rsidR="00CB4859" w:rsidRDefault="00CB4859" w:rsidP="00CB4859">
            <w:pPr>
              <w:pStyle w:val="NormalWeb"/>
              <w:numPr>
                <w:ilvl w:val="0"/>
                <w:numId w:val="10"/>
              </w:numPr>
              <w:shd w:val="clear" w:color="auto" w:fill="FFFFFF"/>
              <w:spacing w:before="0" w:beforeAutospacing="0" w:after="0" w:afterAutospacing="0"/>
              <w:rPr>
                <w:rFonts w:ascii="Georgia" w:hAnsi="Georgia"/>
                <w:color w:val="4D5156"/>
                <w:sz w:val="20"/>
                <w:szCs w:val="20"/>
              </w:rPr>
            </w:pPr>
            <w:r>
              <w:rPr>
                <w:rFonts w:ascii="inherit" w:hAnsi="inherit"/>
                <w:i/>
                <w:iCs/>
                <w:color w:val="3C3C3C"/>
                <w:sz w:val="20"/>
                <w:szCs w:val="20"/>
                <w:bdr w:val="none" w:sz="0" w:space="0" w:color="auto" w:frame="1"/>
                <w:shd w:val="clear" w:color="auto" w:fill="FFFFFF"/>
              </w:rPr>
              <w:t>Things Fall Apart</w:t>
            </w:r>
            <w:r>
              <w:rPr>
                <w:rFonts w:ascii="Georgia" w:hAnsi="Georgia"/>
                <w:color w:val="3C3C3C"/>
                <w:sz w:val="20"/>
                <w:szCs w:val="20"/>
                <w:bdr w:val="none" w:sz="0" w:space="0" w:color="auto" w:frame="1"/>
                <w:shd w:val="clear" w:color="auto" w:fill="FFFFFF"/>
              </w:rPr>
              <w:t> sold more than 10 million copies worldwide and been translated into more than 50 languages</w:t>
            </w:r>
            <w:r w:rsidR="00376766">
              <w:rPr>
                <w:rFonts w:ascii="Georgia" w:hAnsi="Georgia"/>
                <w:color w:val="3C3C3C"/>
                <w:sz w:val="20"/>
                <w:szCs w:val="20"/>
                <w:bdr w:val="none" w:sz="0" w:space="0" w:color="auto" w:frame="1"/>
                <w:shd w:val="clear" w:color="auto" w:fill="FFFFFF"/>
              </w:rPr>
              <w:t>.</w:t>
            </w:r>
          </w:p>
          <w:p w14:paraId="223FB8C3" w14:textId="4C0C2B05" w:rsidR="00F75263" w:rsidRPr="007D1DC2" w:rsidRDefault="00F75263" w:rsidP="00CB4859">
            <w:pPr>
              <w:ind w:left="720"/>
              <w:rPr>
                <w:color w:val="993300"/>
                <w:sz w:val="22"/>
                <w:szCs w:val="22"/>
              </w:rPr>
            </w:pPr>
          </w:p>
          <w:p w14:paraId="6B351255" w14:textId="77777777" w:rsidR="005D541D" w:rsidRPr="007D1DC2" w:rsidRDefault="005D541D" w:rsidP="005D541D">
            <w:pPr>
              <w:rPr>
                <w:rFonts w:ascii="Arial Narrow" w:hAnsi="Arial Narrow"/>
                <w:b/>
                <w:i/>
                <w:sz w:val="22"/>
                <w:szCs w:val="22"/>
              </w:rPr>
            </w:pPr>
            <w:r w:rsidRPr="007D1DC2">
              <w:rPr>
                <w:rFonts w:ascii="Arial Narrow" w:hAnsi="Arial Narrow"/>
                <w:b/>
                <w:sz w:val="22"/>
                <w:szCs w:val="22"/>
              </w:rPr>
              <w:t xml:space="preserve">Readability      </w:t>
            </w:r>
          </w:p>
          <w:p w14:paraId="3C0F31EB" w14:textId="77777777" w:rsidR="00CB4859" w:rsidRPr="00CB4859" w:rsidRDefault="005D541D" w:rsidP="00CB4859">
            <w:pPr>
              <w:numPr>
                <w:ilvl w:val="0"/>
                <w:numId w:val="2"/>
              </w:numPr>
              <w:rPr>
                <w:rFonts w:ascii="Arial Narrow" w:hAnsi="Arial Narrow"/>
                <w:b/>
                <w:sz w:val="22"/>
                <w:szCs w:val="22"/>
              </w:rPr>
            </w:pPr>
            <w:r w:rsidRPr="007D1DC2">
              <w:rPr>
                <w:rFonts w:ascii="Arial Narrow" w:hAnsi="Arial Narrow"/>
                <w:sz w:val="22"/>
                <w:szCs w:val="22"/>
              </w:rPr>
              <w:t xml:space="preserve">Lexile Score:  </w:t>
            </w:r>
            <w:r w:rsidR="00CB4859">
              <w:rPr>
                <w:color w:val="1A1A1A"/>
                <w:sz w:val="20"/>
                <w:szCs w:val="20"/>
                <w:shd w:val="clear" w:color="auto" w:fill="FFFFFF"/>
              </w:rPr>
              <w:t>890L</w:t>
            </w:r>
          </w:p>
          <w:p w14:paraId="16B1C8CD" w14:textId="43C37292" w:rsidR="005D541D" w:rsidRPr="007D1DC2" w:rsidRDefault="005D541D" w:rsidP="00CB4859">
            <w:pPr>
              <w:rPr>
                <w:rFonts w:ascii="Arial Narrow" w:hAnsi="Arial Narrow"/>
                <w:b/>
                <w:sz w:val="22"/>
                <w:szCs w:val="22"/>
              </w:rPr>
            </w:pPr>
            <w:r w:rsidRPr="007D1DC2">
              <w:rPr>
                <w:rFonts w:ascii="Arial Narrow" w:hAnsi="Arial Narrow"/>
                <w:b/>
                <w:sz w:val="22"/>
                <w:szCs w:val="22"/>
              </w:rPr>
              <w:t>Learning Resources Guidelines</w:t>
            </w:r>
          </w:p>
          <w:p w14:paraId="3D712C73" w14:textId="77777777" w:rsidR="005D541D" w:rsidRPr="007D1DC2" w:rsidRDefault="005D541D" w:rsidP="004F57F7">
            <w:pPr>
              <w:numPr>
                <w:ilvl w:val="0"/>
                <w:numId w:val="2"/>
              </w:numPr>
              <w:rPr>
                <w:rFonts w:ascii="Arial Narrow" w:hAnsi="Arial Narrow"/>
                <w:b/>
                <w:sz w:val="22"/>
                <w:szCs w:val="22"/>
              </w:rPr>
            </w:pPr>
            <w:r w:rsidRPr="007D1DC2">
              <w:rPr>
                <w:rFonts w:ascii="Arial Narrow" w:hAnsi="Arial Narrow"/>
                <w:sz w:val="22"/>
                <w:szCs w:val="22"/>
              </w:rPr>
              <w:t>The novel meets the Learning Resources Guidelines.</w:t>
            </w:r>
          </w:p>
          <w:p w14:paraId="39C318A9" w14:textId="77777777" w:rsidR="005D541D" w:rsidRPr="007D1DC2" w:rsidRDefault="005D541D" w:rsidP="005D541D">
            <w:pPr>
              <w:rPr>
                <w:rFonts w:ascii="Arial Narrow" w:hAnsi="Arial Narrow"/>
                <w:b/>
                <w:i/>
                <w:sz w:val="22"/>
                <w:szCs w:val="22"/>
              </w:rPr>
            </w:pPr>
            <w:r w:rsidRPr="007D1DC2">
              <w:rPr>
                <w:rFonts w:ascii="Arial Narrow" w:hAnsi="Arial Narrow"/>
                <w:b/>
                <w:sz w:val="22"/>
                <w:szCs w:val="22"/>
              </w:rPr>
              <w:t>Standard Alignment</w:t>
            </w:r>
            <w:proofErr w:type="gramStart"/>
            <w:r w:rsidRPr="007D1DC2">
              <w:rPr>
                <w:rFonts w:ascii="Arial Narrow" w:hAnsi="Arial Narrow"/>
                <w:b/>
                <w:sz w:val="22"/>
                <w:szCs w:val="22"/>
              </w:rPr>
              <w:t xml:space="preserve">:  </w:t>
            </w:r>
            <w:r w:rsidRPr="007D1DC2">
              <w:rPr>
                <w:rFonts w:ascii="Arial Narrow" w:hAnsi="Arial Narrow"/>
                <w:b/>
                <w:i/>
                <w:sz w:val="22"/>
                <w:szCs w:val="22"/>
              </w:rPr>
              <w:t>(</w:t>
            </w:r>
            <w:proofErr w:type="gramEnd"/>
            <w:r w:rsidRPr="007D1DC2">
              <w:rPr>
                <w:rFonts w:ascii="Arial Narrow" w:hAnsi="Arial Narrow"/>
                <w:b/>
                <w:i/>
                <w:sz w:val="22"/>
                <w:szCs w:val="22"/>
              </w:rPr>
              <w:t>link)</w:t>
            </w:r>
          </w:p>
          <w:p w14:paraId="0C95DFEB" w14:textId="77777777" w:rsidR="005D541D" w:rsidRPr="007D1DC2" w:rsidRDefault="005D541D" w:rsidP="005D541D">
            <w:pPr>
              <w:rPr>
                <w:rFonts w:ascii="Arial Narrow" w:hAnsi="Arial Narrow"/>
                <w:b/>
                <w:sz w:val="22"/>
                <w:szCs w:val="22"/>
              </w:rPr>
            </w:pPr>
            <w:r w:rsidRPr="007D1DC2">
              <w:rPr>
                <w:rFonts w:ascii="Arial Narrow" w:hAnsi="Arial Narrow"/>
                <w:b/>
                <w:sz w:val="22"/>
                <w:szCs w:val="22"/>
              </w:rPr>
              <w:t>Approval:</w:t>
            </w:r>
          </w:p>
          <w:p w14:paraId="6CBBE9A6" w14:textId="77777777" w:rsidR="005D541D" w:rsidRPr="007D1DC2" w:rsidRDefault="005D541D" w:rsidP="005D541D">
            <w:pPr>
              <w:rPr>
                <w:rFonts w:ascii="Arial Narrow" w:hAnsi="Arial Narrow"/>
                <w:b/>
                <w:sz w:val="22"/>
                <w:szCs w:val="22"/>
              </w:rPr>
            </w:pPr>
            <w:r w:rsidRPr="007D1DC2">
              <w:rPr>
                <w:rFonts w:ascii="Arial Narrow" w:hAnsi="Arial Narrow"/>
                <w:b/>
                <w:sz w:val="22"/>
                <w:szCs w:val="22"/>
              </w:rPr>
              <w:t>Submitted to Committee:</w:t>
            </w:r>
          </w:p>
          <w:p w14:paraId="7FFF76BE" w14:textId="77777777" w:rsidR="005D541D" w:rsidRPr="005103AF" w:rsidRDefault="005D541D" w:rsidP="005D541D">
            <w:pPr>
              <w:rPr>
                <w:rFonts w:ascii="Arial Narrow" w:hAnsi="Arial Narrow"/>
                <w:b/>
                <w:sz w:val="18"/>
                <w:szCs w:val="18"/>
              </w:rPr>
            </w:pPr>
            <w:r w:rsidRPr="007D1DC2">
              <w:rPr>
                <w:rFonts w:ascii="Arial Narrow" w:hAnsi="Arial Narrow"/>
                <w:b/>
                <w:sz w:val="22"/>
                <w:szCs w:val="22"/>
              </w:rPr>
              <w:t>Approved for Adoption:</w:t>
            </w:r>
            <w:r w:rsidRPr="005103AF">
              <w:rPr>
                <w:rFonts w:ascii="Arial Narrow" w:hAnsi="Arial Narrow"/>
                <w:sz w:val="18"/>
                <w:szCs w:val="18"/>
              </w:rPr>
              <w:t xml:space="preserve"> </w:t>
            </w:r>
          </w:p>
        </w:tc>
      </w:tr>
      <w:tr w:rsidR="005D541D" w14:paraId="22CFFB97" w14:textId="77777777" w:rsidTr="4FF85E60">
        <w:trPr>
          <w:trHeight w:val="1808"/>
        </w:trPr>
        <w:tc>
          <w:tcPr>
            <w:tcW w:w="5458" w:type="dxa"/>
            <w:tcBorders>
              <w:top w:val="single" w:sz="4" w:space="0" w:color="auto"/>
              <w:left w:val="single" w:sz="4" w:space="0" w:color="auto"/>
              <w:bottom w:val="nil"/>
              <w:right w:val="single" w:sz="4" w:space="0" w:color="auto"/>
            </w:tcBorders>
            <w:shd w:val="clear" w:color="auto" w:fill="auto"/>
          </w:tcPr>
          <w:p w14:paraId="44D99D4D"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Notes on the Text:</w:t>
            </w:r>
          </w:p>
          <w:p w14:paraId="6B7462D8" w14:textId="77777777" w:rsidR="005D541D" w:rsidRPr="004F57F7" w:rsidRDefault="005D541D" w:rsidP="005D541D">
            <w:pPr>
              <w:rPr>
                <w:rStyle w:val="IntenseEmphasis"/>
                <w:rFonts w:ascii="Arial Narrow" w:eastAsia="Calibri" w:hAnsi="Arial Narrow"/>
                <w:b w:val="0"/>
                <w:color w:val="auto"/>
                <w:sz w:val="16"/>
                <w:szCs w:val="16"/>
              </w:rPr>
            </w:pPr>
            <w:r w:rsidRPr="004F57F7">
              <w:rPr>
                <w:rStyle w:val="IntenseEmphasis"/>
                <w:rFonts w:ascii="Arial Narrow" w:eastAsia="Calibri" w:hAnsi="Arial Narrow"/>
                <w:b w:val="0"/>
                <w:color w:val="auto"/>
                <w:sz w:val="16"/>
                <w:szCs w:val="16"/>
              </w:rPr>
              <w:t>(The best way to evaluate and understand a novel is to personally read the book in its entirety.)</w:t>
            </w:r>
          </w:p>
          <w:p w14:paraId="3317E6EA" w14:textId="77777777" w:rsidR="00CB4859" w:rsidRDefault="00CB4859" w:rsidP="00CB4859">
            <w:pPr>
              <w:pStyle w:val="NormalWeb"/>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t>Teaches literary devices such as:</w:t>
            </w:r>
          </w:p>
          <w:p w14:paraId="37027F11"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Foreshadowing</w:t>
            </w:r>
          </w:p>
          <w:p w14:paraId="75D183C4"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Irony</w:t>
            </w:r>
          </w:p>
          <w:p w14:paraId="01B8F92F"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Metaphor</w:t>
            </w:r>
          </w:p>
          <w:p w14:paraId="303C20AB"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Personification</w:t>
            </w:r>
          </w:p>
          <w:p w14:paraId="0DBE1A7E"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Proverb</w:t>
            </w:r>
          </w:p>
          <w:p w14:paraId="510AFA23"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Simile</w:t>
            </w:r>
          </w:p>
          <w:p w14:paraId="2D2AEA8E" w14:textId="77777777" w:rsidR="00CB4859" w:rsidRDefault="00CB4859" w:rsidP="00CB4859">
            <w:pPr>
              <w:pStyle w:val="NormalWeb"/>
              <w:numPr>
                <w:ilvl w:val="0"/>
                <w:numId w:val="11"/>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Theme</w:t>
            </w:r>
          </w:p>
          <w:p w14:paraId="62751B42" w14:textId="77777777" w:rsidR="00CB4859" w:rsidRDefault="00CB4859" w:rsidP="00CB4859">
            <w:pPr>
              <w:pStyle w:val="NormalWeb"/>
              <w:shd w:val="clear" w:color="auto" w:fill="FFFFFF"/>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t>Teaches themes such as:</w:t>
            </w:r>
          </w:p>
          <w:p w14:paraId="41A38C5E" w14:textId="77777777" w:rsidR="00CB4859" w:rsidRDefault="00CB4859" w:rsidP="00CB4859">
            <w:pPr>
              <w:pStyle w:val="NormalWeb"/>
              <w:shd w:val="clear" w:color="auto" w:fill="FFFFFF"/>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lastRenderedPageBreak/>
              <w:t>Tradition — While some embrace the work of the missionaries, many Igbo are wary of the destruction of their culture and customs.</w:t>
            </w:r>
          </w:p>
          <w:p w14:paraId="3A4CC060" w14:textId="77777777" w:rsidR="00CB4859" w:rsidRDefault="00CB4859" w:rsidP="00CB4859">
            <w:pPr>
              <w:pStyle w:val="NormalWeb"/>
              <w:shd w:val="clear" w:color="auto" w:fill="FFFFFF"/>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t>Conflict of Individual and Society — Okonkwo resists the changes that are overtaking his community and turns away from his tribe on more than one occasion.</w:t>
            </w:r>
          </w:p>
          <w:p w14:paraId="2D7CEEA1" w14:textId="77777777" w:rsidR="00CB4859" w:rsidRDefault="00CB4859" w:rsidP="00CB4859">
            <w:pPr>
              <w:pStyle w:val="NormalWeb"/>
              <w:shd w:val="clear" w:color="auto" w:fill="FFFFFF"/>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t>Responsibility — Okonkwo feels responsible for the Igbo people, especially when he must uphold obligations that he may not completely agree with.</w:t>
            </w:r>
          </w:p>
          <w:p w14:paraId="2CDB6278" w14:textId="77777777" w:rsidR="00CB4859" w:rsidRDefault="00CB4859" w:rsidP="00CB4859">
            <w:pPr>
              <w:pStyle w:val="NormalWeb"/>
              <w:shd w:val="clear" w:color="auto" w:fill="FFFFFF"/>
              <w:spacing w:before="0" w:beforeAutospacing="0" w:after="0" w:afterAutospacing="0"/>
              <w:rPr>
                <w:rFonts w:ascii="Georgia" w:hAnsi="Georgia" w:cs="Calibri"/>
                <w:color w:val="000000"/>
                <w:sz w:val="20"/>
                <w:szCs w:val="20"/>
                <w:bdr w:val="none" w:sz="0" w:space="0" w:color="auto" w:frame="1"/>
                <w:shd w:val="clear" w:color="auto" w:fill="FFFFFF"/>
              </w:rPr>
            </w:pPr>
            <w:r>
              <w:rPr>
                <w:rFonts w:ascii="inherit" w:hAnsi="inherit" w:cs="Calibri"/>
                <w:color w:val="1E1E1E"/>
                <w:sz w:val="20"/>
                <w:szCs w:val="20"/>
                <w:bdr w:val="none" w:sz="0" w:space="0" w:color="auto" w:frame="1"/>
                <w:shd w:val="clear" w:color="auto" w:fill="FFFFFF"/>
              </w:rPr>
              <w:t>Prestwickhouse.com</w:t>
            </w:r>
          </w:p>
          <w:p w14:paraId="1D2E88CE" w14:textId="15ED8C3A" w:rsidR="005D541D" w:rsidRPr="004F57F7" w:rsidRDefault="005D541D" w:rsidP="005D541D">
            <w:pPr>
              <w:rPr>
                <w:rFonts w:ascii="Arial Narrow" w:hAnsi="Arial Narrow"/>
                <w:color w:val="993300"/>
                <w:sz w:val="20"/>
                <w:szCs w:val="20"/>
              </w:rPr>
            </w:pPr>
          </w:p>
        </w:tc>
        <w:tc>
          <w:tcPr>
            <w:tcW w:w="5458" w:type="dxa"/>
            <w:tcBorders>
              <w:left w:val="single" w:sz="4" w:space="0" w:color="auto"/>
            </w:tcBorders>
            <w:shd w:val="clear" w:color="auto" w:fill="auto"/>
          </w:tcPr>
          <w:p w14:paraId="1D4310A5"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lastRenderedPageBreak/>
              <w:t>Connection to the Curriculum:</w:t>
            </w:r>
          </w:p>
          <w:p w14:paraId="1B67A0C2" w14:textId="77777777" w:rsidR="00CB4859" w:rsidRDefault="00CB4859" w:rsidP="00CB4859">
            <w:pPr>
              <w:pStyle w:val="NormalWeb"/>
              <w:spacing w:before="0" w:beforeAutospacing="0" w:after="0" w:afterAutospacing="0"/>
              <w:rPr>
                <w:rFonts w:ascii="Georgia" w:hAnsi="Georgia" w:cs="Calibri"/>
                <w:color w:val="000000"/>
                <w:sz w:val="20"/>
                <w:szCs w:val="20"/>
                <w:bdr w:val="none" w:sz="0" w:space="0" w:color="auto" w:frame="1"/>
                <w:shd w:val="clear" w:color="auto" w:fill="FFFFFF"/>
              </w:rPr>
            </w:pPr>
            <w:r>
              <w:rPr>
                <w:color w:val="1E1E1E"/>
                <w:sz w:val="20"/>
                <w:szCs w:val="20"/>
                <w:bdr w:val="none" w:sz="0" w:space="0" w:color="auto" w:frame="1"/>
                <w:shd w:val="clear" w:color="auto" w:fill="FFFFFF"/>
              </w:rPr>
              <w:t>Springboard grade 10 curricular goals prepare students for AP English.:</w:t>
            </w:r>
            <w:r>
              <w:rPr>
                <w:rFonts w:ascii="Roboto" w:hAnsi="Roboto" w:cs="Calibri"/>
                <w:color w:val="1E1E1E"/>
                <w:sz w:val="20"/>
                <w:szCs w:val="20"/>
                <w:bdr w:val="none" w:sz="0" w:space="0" w:color="auto" w:frame="1"/>
                <w:shd w:val="clear" w:color="auto" w:fill="FFFFFF"/>
              </w:rPr>
              <w:t>  </w:t>
            </w:r>
            <w:r>
              <w:rPr>
                <w:rFonts w:ascii="inherit" w:hAnsi="inherit" w:cs="Calibri"/>
                <w:color w:val="1E1E1E"/>
                <w:sz w:val="20"/>
                <w:szCs w:val="20"/>
                <w:bdr w:val="none" w:sz="0" w:space="0" w:color="auto" w:frame="1"/>
                <w:shd w:val="clear" w:color="auto" w:fill="FFFFFF"/>
              </w:rPr>
              <w:t>In units that study the power of language to persuade, students will:</w:t>
            </w:r>
          </w:p>
          <w:p w14:paraId="718EFA7B" w14:textId="77777777" w:rsidR="00CB4859" w:rsidRDefault="00CB4859" w:rsidP="00CB4859">
            <w:pPr>
              <w:pStyle w:val="NormalWeb"/>
              <w:numPr>
                <w:ilvl w:val="0"/>
                <w:numId w:val="12"/>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Read works such as Chinua Achebe’s </w:t>
            </w:r>
            <w:r>
              <w:rPr>
                <w:rFonts w:ascii="inherit" w:hAnsi="inherit" w:cs="Calibri"/>
                <w:i/>
                <w:iCs/>
                <w:color w:val="1E1E1E"/>
                <w:sz w:val="20"/>
                <w:szCs w:val="20"/>
                <w:bdr w:val="none" w:sz="0" w:space="0" w:color="auto" w:frame="1"/>
                <w:shd w:val="clear" w:color="auto" w:fill="FFFFFF"/>
              </w:rPr>
              <w:t>Things Fall Apart</w:t>
            </w:r>
            <w:r>
              <w:rPr>
                <w:rFonts w:ascii="Georgia" w:hAnsi="Georgia" w:cs="Calibri"/>
                <w:color w:val="1E1E1E"/>
                <w:sz w:val="20"/>
                <w:szCs w:val="20"/>
                <w:bdr w:val="none" w:sz="0" w:space="0" w:color="auto" w:frame="1"/>
                <w:shd w:val="clear" w:color="auto" w:fill="FFFFFF"/>
              </w:rPr>
              <w:t>, Sophocles’ </w:t>
            </w:r>
            <w:r>
              <w:rPr>
                <w:rFonts w:ascii="inherit" w:hAnsi="inherit" w:cs="Calibri"/>
                <w:i/>
                <w:iCs/>
                <w:color w:val="1E1E1E"/>
                <w:sz w:val="20"/>
                <w:szCs w:val="20"/>
                <w:bdr w:val="none" w:sz="0" w:space="0" w:color="auto" w:frame="1"/>
                <w:shd w:val="clear" w:color="auto" w:fill="FFFFFF"/>
              </w:rPr>
              <w:t>Antigone</w:t>
            </w:r>
            <w:r>
              <w:rPr>
                <w:rFonts w:ascii="Georgia" w:hAnsi="Georgia" w:cs="Calibri"/>
                <w:color w:val="1E1E1E"/>
                <w:sz w:val="20"/>
                <w:szCs w:val="20"/>
                <w:bdr w:val="none" w:sz="0" w:space="0" w:color="auto" w:frame="1"/>
                <w:shd w:val="clear" w:color="auto" w:fill="FFFFFF"/>
              </w:rPr>
              <w:t>, Susan B. Anthony’s “On Women’s Right to Vote,” and Kofi Annan’s Nobel Prize acceptance speech.</w:t>
            </w:r>
          </w:p>
          <w:p w14:paraId="152C46E2" w14:textId="77777777" w:rsidR="00CB4859" w:rsidRDefault="00CB4859" w:rsidP="00CB4859">
            <w:pPr>
              <w:pStyle w:val="NormalWeb"/>
              <w:numPr>
                <w:ilvl w:val="0"/>
                <w:numId w:val="12"/>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Examine how culture influences worldview.</w:t>
            </w:r>
          </w:p>
          <w:p w14:paraId="5EA80BDD" w14:textId="77777777" w:rsidR="00CB4859" w:rsidRDefault="00CB4859" w:rsidP="00CB4859">
            <w:pPr>
              <w:pStyle w:val="NormalWeb"/>
              <w:numPr>
                <w:ilvl w:val="0"/>
                <w:numId w:val="12"/>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Incorporate textual evidence into a written argument.</w:t>
            </w:r>
          </w:p>
          <w:p w14:paraId="6FDC0D3A" w14:textId="77777777" w:rsidR="00CB4859" w:rsidRDefault="00CB4859" w:rsidP="00CB4859">
            <w:pPr>
              <w:pStyle w:val="NormalWeb"/>
              <w:numPr>
                <w:ilvl w:val="0"/>
                <w:numId w:val="12"/>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t>Write in argumentative, narrative, information, and other modes.</w:t>
            </w:r>
          </w:p>
          <w:p w14:paraId="67F45225" w14:textId="77777777" w:rsidR="00CB4859" w:rsidRDefault="00CB4859" w:rsidP="00CB4859">
            <w:pPr>
              <w:pStyle w:val="NormalWeb"/>
              <w:numPr>
                <w:ilvl w:val="0"/>
                <w:numId w:val="12"/>
              </w:numPr>
              <w:shd w:val="clear" w:color="auto" w:fill="FFFFFF"/>
              <w:spacing w:before="0" w:beforeAutospacing="0" w:after="0" w:afterAutospacing="0"/>
              <w:rPr>
                <w:rFonts w:ascii="Georgia" w:hAnsi="Georgia" w:cs="Calibri"/>
                <w:color w:val="1E1E1E"/>
                <w:sz w:val="20"/>
                <w:szCs w:val="20"/>
                <w:bdr w:val="none" w:sz="0" w:space="0" w:color="auto" w:frame="1"/>
                <w:shd w:val="clear" w:color="auto" w:fill="FFFFFF"/>
              </w:rPr>
            </w:pPr>
            <w:r>
              <w:rPr>
                <w:rFonts w:ascii="Georgia" w:hAnsi="Georgia" w:cs="Calibri"/>
                <w:color w:val="1E1E1E"/>
                <w:sz w:val="20"/>
                <w:szCs w:val="20"/>
                <w:bdr w:val="none" w:sz="0" w:space="0" w:color="auto" w:frame="1"/>
                <w:shd w:val="clear" w:color="auto" w:fill="FFFFFF"/>
              </w:rPr>
              <w:lastRenderedPageBreak/>
              <w:t>Research a culture and present findings in a collaborative presentation using digital media.</w:t>
            </w:r>
          </w:p>
          <w:p w14:paraId="71DF691A" w14:textId="77777777" w:rsidR="005D541D" w:rsidRPr="004F57F7" w:rsidRDefault="005D541D" w:rsidP="005D541D">
            <w:pPr>
              <w:rPr>
                <w:rFonts w:ascii="Arial Narrow" w:hAnsi="Arial Narrow"/>
                <w:sz w:val="20"/>
                <w:szCs w:val="20"/>
              </w:rPr>
            </w:pPr>
          </w:p>
        </w:tc>
      </w:tr>
      <w:tr w:rsidR="005D541D" w14:paraId="015B2B8E" w14:textId="77777777" w:rsidTr="4FF85E60">
        <w:trPr>
          <w:trHeight w:val="1349"/>
        </w:trPr>
        <w:tc>
          <w:tcPr>
            <w:tcW w:w="10916" w:type="dxa"/>
            <w:gridSpan w:val="2"/>
            <w:shd w:val="clear" w:color="auto" w:fill="auto"/>
          </w:tcPr>
          <w:p w14:paraId="1FF38E20" w14:textId="77777777" w:rsidR="005D541D" w:rsidRPr="004F57F7" w:rsidRDefault="005D541D" w:rsidP="004F57F7">
            <w:pPr>
              <w:jc w:val="center"/>
              <w:rPr>
                <w:rFonts w:ascii="Arial Narrow" w:hAnsi="Arial Narrow"/>
                <w:bCs/>
                <w:i/>
                <w:iCs/>
              </w:rPr>
            </w:pPr>
            <w:r w:rsidRPr="004F57F7">
              <w:rPr>
                <w:rFonts w:ascii="Arial Narrow" w:hAnsi="Arial Narrow"/>
                <w:b/>
                <w:bCs/>
                <w:iCs/>
                <w:sz w:val="28"/>
                <w:szCs w:val="28"/>
              </w:rPr>
              <w:t>Additional Connections</w:t>
            </w:r>
            <w:r w:rsidRPr="004F57F7">
              <w:rPr>
                <w:rFonts w:ascii="Arial Narrow" w:hAnsi="Arial Narrow"/>
                <w:b/>
                <w:bCs/>
                <w:i/>
                <w:iCs/>
              </w:rPr>
              <w:t>:</w:t>
            </w:r>
          </w:p>
          <w:p w14:paraId="5DA012ED" w14:textId="77777777" w:rsidR="005D541D" w:rsidRPr="004F57F7" w:rsidRDefault="005D541D" w:rsidP="004F57F7">
            <w:pPr>
              <w:jc w:val="center"/>
              <w:rPr>
                <w:rFonts w:ascii="Arial Narrow" w:hAnsi="Arial Narrow"/>
                <w:bCs/>
                <w:i/>
                <w:iCs/>
                <w:sz w:val="16"/>
                <w:szCs w:val="16"/>
              </w:rPr>
            </w:pPr>
            <w:r w:rsidRPr="004F57F7">
              <w:rPr>
                <w:rFonts w:ascii="Arial Narrow" w:hAnsi="Arial Narrow"/>
                <w:bCs/>
                <w:i/>
                <w:iCs/>
                <w:sz w:val="16"/>
                <w:szCs w:val="16"/>
              </w:rPr>
              <w:t>(AP, Honors, Essential/Applied, Dramas, Films, etc.)</w:t>
            </w:r>
          </w:p>
          <w:p w14:paraId="6102FBDE" w14:textId="77777777" w:rsidR="005D541D" w:rsidRPr="004F57F7" w:rsidRDefault="005D541D" w:rsidP="004F57F7">
            <w:pPr>
              <w:jc w:val="center"/>
              <w:rPr>
                <w:rFonts w:ascii="Arial Narrow" w:hAnsi="Arial Narrow"/>
                <w:bCs/>
                <w:i/>
                <w:iCs/>
                <w:sz w:val="16"/>
                <w:szCs w:val="16"/>
              </w:rPr>
            </w:pPr>
          </w:p>
          <w:p w14:paraId="1EC8330D" w14:textId="202F6097" w:rsidR="00376766" w:rsidRPr="00376766" w:rsidRDefault="00376766" w:rsidP="007D1DC2">
            <w:pPr>
              <w:rPr>
                <w:rFonts w:ascii="Helvetica" w:hAnsi="Helvetica"/>
                <w:color w:val="000000"/>
                <w:sz w:val="20"/>
                <w:szCs w:val="20"/>
                <w:shd w:val="clear" w:color="auto" w:fill="FFFFFF"/>
              </w:rPr>
            </w:pPr>
            <w:r w:rsidRPr="00376766">
              <w:rPr>
                <w:rFonts w:ascii="Helvetica" w:hAnsi="Helvetica"/>
                <w:color w:val="000000"/>
                <w:sz w:val="20"/>
                <w:szCs w:val="20"/>
                <w:shd w:val="clear" w:color="auto" w:fill="FFFFFF"/>
              </w:rPr>
              <w:t>“</w:t>
            </w:r>
            <w:r w:rsidRPr="00376766">
              <w:rPr>
                <w:rFonts w:ascii="Helvetica" w:hAnsi="Helvetica"/>
                <w:color w:val="000000"/>
                <w:sz w:val="20"/>
                <w:szCs w:val="20"/>
                <w:shd w:val="clear" w:color="auto" w:fill="FFFFFF"/>
              </w:rPr>
              <w:t>Millions of copies have been sold around the world in its many translations. The novel has been adapted for productions on the stage, on the radio, and on television</w:t>
            </w:r>
            <w:r w:rsidRPr="00376766">
              <w:rPr>
                <w:rFonts w:ascii="Helvetica" w:hAnsi="Helvetica"/>
                <w:color w:val="000000"/>
                <w:sz w:val="20"/>
                <w:szCs w:val="20"/>
                <w:shd w:val="clear" w:color="auto" w:fill="FFFFFF"/>
              </w:rPr>
              <w:t>” (Cliffnotes.com).</w:t>
            </w:r>
          </w:p>
        </w:tc>
      </w:tr>
    </w:tbl>
    <w:p w14:paraId="21A2920C" w14:textId="77777777" w:rsidR="005D541D" w:rsidRDefault="005D541D" w:rsidP="007D1DC2"/>
    <w:sectPr w:rsidR="005D541D" w:rsidSect="005D541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EDFE" w14:textId="77777777" w:rsidR="00C937ED" w:rsidRDefault="00C937ED">
      <w:r>
        <w:separator/>
      </w:r>
    </w:p>
  </w:endnote>
  <w:endnote w:type="continuationSeparator" w:id="0">
    <w:p w14:paraId="05D7B542" w14:textId="77777777" w:rsidR="00C937ED" w:rsidRDefault="00C9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6A1D" w14:textId="77777777" w:rsidR="00C937ED" w:rsidRDefault="00C937ED">
      <w:r>
        <w:separator/>
      </w:r>
    </w:p>
  </w:footnote>
  <w:footnote w:type="continuationSeparator" w:id="0">
    <w:p w14:paraId="43438F2E" w14:textId="77777777" w:rsidR="00C937ED" w:rsidRDefault="00C9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B833" w14:textId="43F60D75" w:rsidR="00630F96" w:rsidRPr="00103969" w:rsidRDefault="00CB4859" w:rsidP="005D541D">
    <w:pPr>
      <w:pStyle w:val="Header"/>
      <w:rPr>
        <w:color w:val="000080"/>
      </w:rPr>
    </w:pPr>
    <w:r>
      <w:rPr>
        <w:rFonts w:ascii="Cambria" w:hAnsi="Cambria" w:cs="Calibri"/>
        <w:b/>
        <w:bCs/>
        <w:i/>
        <w:iCs/>
        <w:color w:val="000080"/>
        <w:sz w:val="44"/>
        <w:szCs w:val="44"/>
        <w:bdr w:val="none" w:sz="0" w:space="0" w:color="auto" w:frame="1"/>
        <w:shd w:val="clear" w:color="auto" w:fill="FFFFFF"/>
      </w:rPr>
      <w:t>Things Fall Apart       </w:t>
    </w:r>
    <w:r>
      <w:rPr>
        <w:rFonts w:ascii="Cambria" w:hAnsi="Cambria" w:cs="Calibri"/>
        <w:b/>
        <w:bCs/>
        <w:color w:val="000080"/>
        <w:sz w:val="28"/>
        <w:szCs w:val="28"/>
        <w:bdr w:val="none" w:sz="0" w:space="0" w:color="auto" w:frame="1"/>
        <w:shd w:val="clear" w:color="auto" w:fill="FFFFFF"/>
      </w:rPr>
      <w:t>by Chinua Achebe      </w:t>
    </w:r>
    <w:proofErr w:type="gramStart"/>
    <w:r>
      <w:rPr>
        <w:rFonts w:ascii="Cambria" w:hAnsi="Cambria" w:cs="Calibri"/>
        <w:b/>
        <w:bCs/>
        <w:color w:val="000080"/>
        <w:sz w:val="28"/>
        <w:szCs w:val="28"/>
        <w:bdr w:val="none" w:sz="0" w:space="0" w:color="auto" w:frame="1"/>
        <w:shd w:val="clear" w:color="auto" w:fill="FFFFFF"/>
      </w:rPr>
      <w:t xml:space="preserve">   </w:t>
    </w:r>
    <w:r>
      <w:rPr>
        <w:rFonts w:ascii="Cambria" w:hAnsi="Cambria" w:cs="Calibri"/>
        <w:b/>
        <w:bCs/>
        <w:color w:val="000080"/>
        <w:sz w:val="20"/>
        <w:szCs w:val="20"/>
        <w:bdr w:val="none" w:sz="0" w:space="0" w:color="auto" w:frame="1"/>
        <w:shd w:val="clear" w:color="auto" w:fill="FFFFFF"/>
      </w:rPr>
      <w:t>(</w:t>
    </w:r>
    <w:proofErr w:type="gramEnd"/>
    <w:r>
      <w:rPr>
        <w:rFonts w:ascii="Cambria" w:hAnsi="Cambria" w:cs="Calibri"/>
        <w:b/>
        <w:bCs/>
        <w:color w:val="000080"/>
        <w:sz w:val="20"/>
        <w:szCs w:val="20"/>
        <w:bdr w:val="none" w:sz="0" w:space="0" w:color="auto" w:frame="1"/>
        <w:shd w:val="clear" w:color="auto" w:fill="FFFFFF"/>
      </w:rPr>
      <w:t>Published in 1959)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9F4"/>
    <w:multiLevelType w:val="hybridMultilevel"/>
    <w:tmpl w:val="D6CCF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679"/>
    <w:multiLevelType w:val="multilevel"/>
    <w:tmpl w:val="FBC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7765"/>
    <w:multiLevelType w:val="hybridMultilevel"/>
    <w:tmpl w:val="A2C4BB82"/>
    <w:lvl w:ilvl="0" w:tplc="04090001">
      <w:start w:val="1"/>
      <w:numFmt w:val="bullet"/>
      <w:lvlText w:val=""/>
      <w:lvlJc w:val="left"/>
      <w:pPr>
        <w:tabs>
          <w:tab w:val="num" w:pos="720"/>
        </w:tabs>
        <w:ind w:left="720" w:hanging="360"/>
      </w:pPr>
      <w:rPr>
        <w:rFonts w:ascii="Symbol" w:hAnsi="Symbol" w:hint="default"/>
      </w:rPr>
    </w:lvl>
    <w:lvl w:ilvl="1" w:tplc="A3D6C81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D63"/>
    <w:multiLevelType w:val="hybridMultilevel"/>
    <w:tmpl w:val="E3E8C8BA"/>
    <w:lvl w:ilvl="0" w:tplc="6C543C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E6949"/>
    <w:multiLevelType w:val="hybridMultilevel"/>
    <w:tmpl w:val="0CEAE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5C570C"/>
    <w:multiLevelType w:val="hybridMultilevel"/>
    <w:tmpl w:val="3D66D1E4"/>
    <w:lvl w:ilvl="0" w:tplc="6C543C0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64CF3"/>
    <w:multiLevelType w:val="hybridMultilevel"/>
    <w:tmpl w:val="AFA4C6E4"/>
    <w:lvl w:ilvl="0" w:tplc="85E8769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0166C"/>
    <w:multiLevelType w:val="hybridMultilevel"/>
    <w:tmpl w:val="CA72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13229"/>
    <w:multiLevelType w:val="multilevel"/>
    <w:tmpl w:val="3E8C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E405C"/>
    <w:multiLevelType w:val="hybridMultilevel"/>
    <w:tmpl w:val="A802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D279E"/>
    <w:multiLevelType w:val="multilevel"/>
    <w:tmpl w:val="0D4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A28DE"/>
    <w:multiLevelType w:val="hybridMultilevel"/>
    <w:tmpl w:val="253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4"/>
  </w:num>
  <w:num w:numId="6">
    <w:abstractNumId w:val="5"/>
  </w:num>
  <w:num w:numId="7">
    <w:abstractNumId w:val="0"/>
  </w:num>
  <w:num w:numId="8">
    <w:abstractNumId w:val="11"/>
  </w:num>
  <w:num w:numId="9">
    <w:abstractNumId w:val="7"/>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F"/>
    <w:rsid w:val="0005451C"/>
    <w:rsid w:val="00057B04"/>
    <w:rsid w:val="000734E3"/>
    <w:rsid w:val="000D1998"/>
    <w:rsid w:val="001275EF"/>
    <w:rsid w:val="001343CF"/>
    <w:rsid w:val="00175FDA"/>
    <w:rsid w:val="001A1F45"/>
    <w:rsid w:val="002313C1"/>
    <w:rsid w:val="002D3290"/>
    <w:rsid w:val="002E3E5F"/>
    <w:rsid w:val="002E42AA"/>
    <w:rsid w:val="00305DAB"/>
    <w:rsid w:val="003374CC"/>
    <w:rsid w:val="00376766"/>
    <w:rsid w:val="00397115"/>
    <w:rsid w:val="003C6D07"/>
    <w:rsid w:val="00431830"/>
    <w:rsid w:val="00437B1B"/>
    <w:rsid w:val="00442C2B"/>
    <w:rsid w:val="004643F0"/>
    <w:rsid w:val="00486547"/>
    <w:rsid w:val="004B0E11"/>
    <w:rsid w:val="004B65EA"/>
    <w:rsid w:val="004C78FC"/>
    <w:rsid w:val="004F57F7"/>
    <w:rsid w:val="005103AF"/>
    <w:rsid w:val="00515880"/>
    <w:rsid w:val="005158EF"/>
    <w:rsid w:val="005402D0"/>
    <w:rsid w:val="0055575F"/>
    <w:rsid w:val="00573C50"/>
    <w:rsid w:val="005D541D"/>
    <w:rsid w:val="005E7A38"/>
    <w:rsid w:val="006266E4"/>
    <w:rsid w:val="00630F96"/>
    <w:rsid w:val="00696792"/>
    <w:rsid w:val="00704FB8"/>
    <w:rsid w:val="00736A28"/>
    <w:rsid w:val="0074151F"/>
    <w:rsid w:val="007572F1"/>
    <w:rsid w:val="00772959"/>
    <w:rsid w:val="007D1DC2"/>
    <w:rsid w:val="007E0111"/>
    <w:rsid w:val="00807790"/>
    <w:rsid w:val="008245AB"/>
    <w:rsid w:val="00835A2A"/>
    <w:rsid w:val="008E768B"/>
    <w:rsid w:val="008F027D"/>
    <w:rsid w:val="008F4579"/>
    <w:rsid w:val="00902561"/>
    <w:rsid w:val="009572DA"/>
    <w:rsid w:val="009A14BD"/>
    <w:rsid w:val="00A13C54"/>
    <w:rsid w:val="00A340E3"/>
    <w:rsid w:val="00A63870"/>
    <w:rsid w:val="00A9261C"/>
    <w:rsid w:val="00AD6D37"/>
    <w:rsid w:val="00AF1D6F"/>
    <w:rsid w:val="00B604D5"/>
    <w:rsid w:val="00B63FF0"/>
    <w:rsid w:val="00BA57D5"/>
    <w:rsid w:val="00BA7E00"/>
    <w:rsid w:val="00BB6BA4"/>
    <w:rsid w:val="00C8301E"/>
    <w:rsid w:val="00C937ED"/>
    <w:rsid w:val="00CB4859"/>
    <w:rsid w:val="00CB5B53"/>
    <w:rsid w:val="00CD3519"/>
    <w:rsid w:val="00D14CA2"/>
    <w:rsid w:val="00D177DE"/>
    <w:rsid w:val="00D2092B"/>
    <w:rsid w:val="00E10B8E"/>
    <w:rsid w:val="00E7458C"/>
    <w:rsid w:val="00F1088F"/>
    <w:rsid w:val="00F3476F"/>
    <w:rsid w:val="00F40DAC"/>
    <w:rsid w:val="00F75263"/>
    <w:rsid w:val="00FC65CC"/>
    <w:rsid w:val="4FF8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31BC"/>
  <w15:chartTrackingRefBased/>
  <w15:docId w15:val="{C8F38BA7-50C7-48E7-811F-1B27CA2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07061"/>
    <w:pPr>
      <w:keepNext/>
      <w:outlineLvl w:val="0"/>
    </w:pPr>
    <w:rPr>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75F"/>
    <w:pPr>
      <w:tabs>
        <w:tab w:val="center" w:pos="4320"/>
        <w:tab w:val="right" w:pos="8640"/>
      </w:tabs>
    </w:pPr>
  </w:style>
  <w:style w:type="paragraph" w:styleId="Footer">
    <w:name w:val="footer"/>
    <w:basedOn w:val="Normal"/>
    <w:rsid w:val="0055575F"/>
    <w:pPr>
      <w:tabs>
        <w:tab w:val="center" w:pos="4320"/>
        <w:tab w:val="right" w:pos="8640"/>
      </w:tabs>
    </w:pPr>
  </w:style>
  <w:style w:type="paragraph" w:styleId="Title">
    <w:name w:val="Title"/>
    <w:basedOn w:val="Normal"/>
    <w:next w:val="Normal"/>
    <w:qFormat/>
    <w:rsid w:val="0055575F"/>
    <w:pPr>
      <w:pBdr>
        <w:bottom w:val="single" w:sz="8" w:space="4" w:color="4F81BD"/>
      </w:pBdr>
      <w:spacing w:after="300"/>
      <w:contextualSpacing/>
    </w:pPr>
    <w:rPr>
      <w:rFonts w:ascii="Cambria" w:eastAsia="Calibri" w:hAnsi="Cambria"/>
      <w:color w:val="17365D"/>
      <w:spacing w:val="5"/>
      <w:kern w:val="28"/>
      <w:sz w:val="52"/>
      <w:szCs w:val="52"/>
    </w:rPr>
  </w:style>
  <w:style w:type="table" w:styleId="TableGrid">
    <w:name w:val="Table Grid"/>
    <w:basedOn w:val="TableNormal"/>
    <w:rsid w:val="005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2D6282"/>
    <w:rPr>
      <w:rFonts w:cs="Times New Roman"/>
      <w:b/>
      <w:bCs/>
      <w:i/>
      <w:iCs/>
      <w:color w:val="4F81BD"/>
    </w:rPr>
  </w:style>
  <w:style w:type="paragraph" w:styleId="NormalWeb">
    <w:name w:val="Normal (Web)"/>
    <w:basedOn w:val="Normal"/>
    <w:uiPriority w:val="99"/>
    <w:rsid w:val="00861C92"/>
    <w:pPr>
      <w:spacing w:before="100" w:beforeAutospacing="1" w:after="100" w:afterAutospacing="1"/>
    </w:pPr>
  </w:style>
  <w:style w:type="character" w:styleId="Hyperlink">
    <w:name w:val="Hyperlink"/>
    <w:rsid w:val="0003750B"/>
    <w:rPr>
      <w:color w:val="0000FF"/>
      <w:u w:val="single"/>
    </w:rPr>
  </w:style>
  <w:style w:type="character" w:styleId="HTMLCite">
    <w:name w:val="HTML Cite"/>
    <w:uiPriority w:val="99"/>
    <w:rsid w:val="0003750B"/>
    <w:rPr>
      <w:i/>
      <w:iCs/>
    </w:rPr>
  </w:style>
  <w:style w:type="character" w:customStyle="1" w:styleId="title1">
    <w:name w:val="title1"/>
    <w:basedOn w:val="DefaultParagraphFont"/>
    <w:rsid w:val="00A70D24"/>
  </w:style>
  <w:style w:type="character" w:customStyle="1" w:styleId="author">
    <w:name w:val="author"/>
    <w:basedOn w:val="DefaultParagraphFont"/>
    <w:rsid w:val="00A70D24"/>
  </w:style>
  <w:style w:type="character" w:customStyle="1" w:styleId="volumes">
    <w:name w:val="volumes"/>
    <w:basedOn w:val="DefaultParagraphFont"/>
    <w:rsid w:val="00A70D24"/>
  </w:style>
  <w:style w:type="character" w:customStyle="1" w:styleId="definition">
    <w:name w:val="definition"/>
    <w:basedOn w:val="DefaultParagraphFont"/>
    <w:rsid w:val="00A70D24"/>
  </w:style>
  <w:style w:type="paragraph" w:styleId="BodyText">
    <w:name w:val="Body Text"/>
    <w:basedOn w:val="Normal"/>
    <w:rsid w:val="009735BB"/>
    <w:rPr>
      <w:color w:val="993300"/>
      <w:sz w:val="20"/>
      <w:szCs w:val="20"/>
    </w:rPr>
  </w:style>
  <w:style w:type="character" w:styleId="Emphasis">
    <w:name w:val="Emphasis"/>
    <w:basedOn w:val="DefaultParagraphFont"/>
    <w:uiPriority w:val="20"/>
    <w:qFormat/>
    <w:rsid w:val="009572DA"/>
    <w:rPr>
      <w:i/>
      <w:iCs/>
    </w:rPr>
  </w:style>
  <w:style w:type="character" w:styleId="UnresolvedMention">
    <w:name w:val="Unresolved Mention"/>
    <w:basedOn w:val="DefaultParagraphFont"/>
    <w:uiPriority w:val="99"/>
    <w:semiHidden/>
    <w:unhideWhenUsed/>
    <w:rsid w:val="00F1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3301">
      <w:bodyDiv w:val="1"/>
      <w:marLeft w:val="0"/>
      <w:marRight w:val="0"/>
      <w:marTop w:val="0"/>
      <w:marBottom w:val="0"/>
      <w:divBdr>
        <w:top w:val="none" w:sz="0" w:space="0" w:color="auto"/>
        <w:left w:val="none" w:sz="0" w:space="0" w:color="auto"/>
        <w:bottom w:val="none" w:sz="0" w:space="0" w:color="auto"/>
        <w:right w:val="none" w:sz="0" w:space="0" w:color="auto"/>
      </w:divBdr>
    </w:div>
    <w:div w:id="1018853384">
      <w:bodyDiv w:val="1"/>
      <w:marLeft w:val="0"/>
      <w:marRight w:val="0"/>
      <w:marTop w:val="0"/>
      <w:marBottom w:val="0"/>
      <w:divBdr>
        <w:top w:val="none" w:sz="0" w:space="0" w:color="auto"/>
        <w:left w:val="none" w:sz="0" w:space="0" w:color="auto"/>
        <w:bottom w:val="none" w:sz="0" w:space="0" w:color="auto"/>
        <w:right w:val="none" w:sz="0" w:space="0" w:color="auto"/>
      </w:divBdr>
    </w:div>
    <w:div w:id="1165509829">
      <w:bodyDiv w:val="1"/>
      <w:marLeft w:val="0"/>
      <w:marRight w:val="0"/>
      <w:marTop w:val="0"/>
      <w:marBottom w:val="0"/>
      <w:divBdr>
        <w:top w:val="none" w:sz="0" w:space="0" w:color="auto"/>
        <w:left w:val="none" w:sz="0" w:space="0" w:color="auto"/>
        <w:bottom w:val="none" w:sz="0" w:space="0" w:color="auto"/>
        <w:right w:val="none" w:sz="0" w:space="0" w:color="auto"/>
      </w:divBdr>
    </w:div>
    <w:div w:id="19077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Igb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rt/protagonist" TargetMode="External"/><Relationship Id="rId5" Type="http://schemas.openxmlformats.org/officeDocument/2006/relationships/footnotes" Target="footnotes.xml"/><Relationship Id="rId10" Type="http://schemas.openxmlformats.org/officeDocument/2006/relationships/hyperlink" Target="https://www.britannica.com/topic/tribe-anthropology" TargetMode="External"/><Relationship Id="rId4" Type="http://schemas.openxmlformats.org/officeDocument/2006/relationships/webSettings" Target="webSettings.xml"/><Relationship Id="rId9" Type="http://schemas.openxmlformats.org/officeDocument/2006/relationships/hyperlink" Target="https://www.britannica.com/topic/missions-Christia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Approved for use in all levels of English II instruction</vt:lpstr>
    </vt:vector>
  </TitlesOfParts>
  <Company>Helena School District 1</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 use in all levels of English II instruction</dc:title>
  <dc:subject/>
  <dc:creator>cseitz</dc:creator>
  <cp:keywords/>
  <dc:description/>
  <cp:lastModifiedBy>Mitchell, Lauren</cp:lastModifiedBy>
  <cp:revision>2</cp:revision>
  <cp:lastPrinted>2008-02-22T20:29:00Z</cp:lastPrinted>
  <dcterms:created xsi:type="dcterms:W3CDTF">2021-11-23T16:57:00Z</dcterms:created>
  <dcterms:modified xsi:type="dcterms:W3CDTF">2021-11-23T16:57:00Z</dcterms:modified>
</cp:coreProperties>
</file>